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9C76B" w14:textId="77777777" w:rsidR="00752CF3" w:rsidRPr="00752CF3" w:rsidRDefault="00752CF3" w:rsidP="00752CF3">
      <w:pPr>
        <w:pStyle w:val="EIFLTITLE"/>
        <w:rPr>
          <w:rFonts w:cstheme="minorBidi"/>
        </w:rPr>
      </w:pPr>
      <w:bookmarkStart w:id="0" w:name="_top"/>
      <w:bookmarkEnd w:id="0"/>
      <w:r w:rsidRPr="00752CF3">
        <w:rPr>
          <w:rFonts w:cstheme="minorBidi"/>
        </w:rPr>
        <w:t xml:space="preserve"> Implementation of the </w:t>
      </w:r>
      <w:r w:rsidRPr="00752CF3">
        <w:rPr>
          <w:rFonts w:cstheme="minorBidi"/>
        </w:rPr>
        <w:br/>
        <w:t xml:space="preserve">Marrakesh Treaty for persons with print disabilities </w:t>
      </w:r>
      <w:r w:rsidRPr="00752CF3">
        <w:rPr>
          <w:rFonts w:cstheme="minorBidi"/>
        </w:rPr>
        <w:br/>
        <w:t>Frequently Asked Questions (FAQs)</w:t>
      </w:r>
    </w:p>
    <w:p w14:paraId="082FC9AF" w14:textId="77777777" w:rsidR="00583DA7" w:rsidRPr="00752CF3" w:rsidRDefault="00583DA7" w:rsidP="003363F6">
      <w:pPr>
        <w:jc w:val="center"/>
        <w:rPr>
          <w:rFonts w:asciiTheme="minorBidi" w:hAnsiTheme="minorBidi"/>
          <w:b/>
          <w:color w:val="2294C2"/>
          <w:lang w:val="en-GB"/>
        </w:rPr>
      </w:pPr>
    </w:p>
    <w:p w14:paraId="04E0A8F2" w14:textId="77777777" w:rsidR="00752CF3" w:rsidRPr="00752CF3" w:rsidRDefault="00752CF3" w:rsidP="00752CF3">
      <w:pPr>
        <w:rPr>
          <w:rFonts w:asciiTheme="minorBidi" w:hAnsiTheme="minorBidi"/>
          <w:lang w:val="en-GB"/>
        </w:rPr>
      </w:pPr>
      <w:r w:rsidRPr="00752CF3">
        <w:rPr>
          <w:rFonts w:asciiTheme="minorBidi" w:hAnsiTheme="minorBidi"/>
          <w:lang w:val="en-GB"/>
        </w:rPr>
        <w:t>EIFL was an active participant during negotiations over five years at the World Intellectual Property Organization (WIPO) that led to the adoption of the Marrakesh Treaty on 27th June 2013, and its subsequent entry into force on 30th September 2016.</w:t>
      </w:r>
    </w:p>
    <w:p w14:paraId="39BDF2BA" w14:textId="77777777" w:rsidR="00752CF3" w:rsidRPr="00752CF3" w:rsidRDefault="00752CF3" w:rsidP="00752CF3">
      <w:pPr>
        <w:rPr>
          <w:rFonts w:asciiTheme="minorBidi" w:hAnsiTheme="minorBidi"/>
          <w:lang w:val="en-GB"/>
        </w:rPr>
      </w:pPr>
    </w:p>
    <w:p w14:paraId="4715A6DB"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Now EIFL is supporting ratification of the Marrakesh Treaty and its implementation into national law. We support advocacy projects in EIFL partner countries, and have produced a practical guide to the Marrakesh Treaty to assist librarians and policy-makers, available in multiple languages. </w:t>
      </w:r>
    </w:p>
    <w:p w14:paraId="24AEFEDF" w14:textId="77777777" w:rsidR="00752CF3" w:rsidRPr="00752CF3" w:rsidRDefault="00752CF3" w:rsidP="00752CF3">
      <w:pPr>
        <w:rPr>
          <w:rFonts w:asciiTheme="minorBidi" w:hAnsiTheme="minorBidi"/>
          <w:lang w:val="en-GB"/>
        </w:rPr>
      </w:pPr>
    </w:p>
    <w:p w14:paraId="0714C1B2" w14:textId="68746649" w:rsidR="00583DA7" w:rsidRPr="00752CF3" w:rsidRDefault="00752CF3" w:rsidP="00752CF3">
      <w:pPr>
        <w:rPr>
          <w:rFonts w:asciiTheme="minorBidi" w:hAnsiTheme="minorBidi"/>
          <w:lang w:val="en-GB"/>
        </w:rPr>
      </w:pPr>
      <w:r w:rsidRPr="00752CF3">
        <w:rPr>
          <w:rFonts w:asciiTheme="minorBidi" w:hAnsiTheme="minorBidi"/>
          <w:lang w:val="en-GB"/>
        </w:rPr>
        <w:t>Read more: http://www.eifl.net/eifl-in-action/right-read</w:t>
      </w:r>
    </w:p>
    <w:p w14:paraId="039291A3" w14:textId="77777777" w:rsidR="00752CF3" w:rsidRPr="00752CF3" w:rsidRDefault="00752CF3" w:rsidP="00752CF3">
      <w:pPr>
        <w:rPr>
          <w:rFonts w:asciiTheme="minorBidi" w:hAnsiTheme="minorBidi"/>
          <w:lang w:val="en-GB"/>
        </w:rPr>
      </w:pPr>
    </w:p>
    <w:p w14:paraId="28E9DA6E" w14:textId="77777777" w:rsidR="00752CF3" w:rsidRPr="00752CF3" w:rsidRDefault="00752CF3" w:rsidP="00752CF3">
      <w:pPr>
        <w:pStyle w:val="EIFLHEAD1"/>
      </w:pPr>
      <w:r w:rsidRPr="00752CF3">
        <w:t>Frequently asked questions (FAQs)</w:t>
      </w:r>
    </w:p>
    <w:p w14:paraId="2E6D7AFD" w14:textId="77777777" w:rsidR="00752CF3" w:rsidRPr="00752CF3" w:rsidRDefault="00752CF3" w:rsidP="00752CF3">
      <w:pPr>
        <w:rPr>
          <w:rFonts w:asciiTheme="minorBidi" w:hAnsiTheme="minorBidi"/>
        </w:rPr>
      </w:pPr>
    </w:p>
    <w:p w14:paraId="39140B43" w14:textId="77777777" w:rsidR="00752CF3" w:rsidRPr="00752CF3" w:rsidRDefault="00752CF3" w:rsidP="00752CF3">
      <w:pPr>
        <w:rPr>
          <w:rFonts w:asciiTheme="minorBidi" w:hAnsiTheme="minorBidi"/>
        </w:rPr>
      </w:pPr>
      <w:r w:rsidRPr="00752CF3">
        <w:rPr>
          <w:rFonts w:asciiTheme="minorBidi" w:hAnsiTheme="minorBidi"/>
        </w:rPr>
        <w:t>Based on experience advocating for the Marrakesh Treaty, EIFL has compiled information on a set of issues that commonly arise concerning the process and substance of ratification and implementation.</w:t>
      </w:r>
      <w:r w:rsidRPr="00752CF3">
        <w:rPr>
          <w:rFonts w:asciiTheme="minorBidi" w:hAnsiTheme="minorBidi"/>
        </w:rPr>
        <w:br/>
      </w:r>
    </w:p>
    <w:p w14:paraId="5100CA87" w14:textId="77777777" w:rsidR="00752CF3" w:rsidRPr="00752CF3" w:rsidRDefault="0029103F" w:rsidP="00752CF3">
      <w:pPr>
        <w:rPr>
          <w:rFonts w:asciiTheme="minorBidi" w:hAnsiTheme="minorBidi"/>
          <w:lang w:val="en-GB"/>
        </w:rPr>
      </w:pPr>
      <w:hyperlink w:anchor="Signing" w:history="1">
        <w:r w:rsidR="00752CF3" w:rsidRPr="00752CF3">
          <w:rPr>
            <w:rStyle w:val="Hyperlink"/>
            <w:rFonts w:asciiTheme="minorBidi" w:hAnsiTheme="minorBidi"/>
          </w:rPr>
          <w:t>1. Signing, ratifying and acceding to the Marrakesh Treaty</w:t>
        </w:r>
        <w:r w:rsidR="00752CF3" w:rsidRPr="00752CF3">
          <w:rPr>
            <w:rStyle w:val="Hyperlink"/>
            <w:rFonts w:asciiTheme="minorBidi" w:hAnsiTheme="minorBidi"/>
          </w:rPr>
          <w:br/>
        </w:r>
      </w:hyperlink>
      <w:hyperlink w:anchor="Legislation" w:history="1">
        <w:r w:rsidR="00752CF3" w:rsidRPr="00752CF3">
          <w:rPr>
            <w:rStyle w:val="Hyperlink"/>
            <w:rFonts w:asciiTheme="minorBidi" w:hAnsiTheme="minorBidi"/>
          </w:rPr>
          <w:t>2. Legislation implementing Marrakesh can be advanced on its own</w:t>
        </w:r>
      </w:hyperlink>
      <w:r w:rsidR="00752CF3" w:rsidRPr="00752CF3">
        <w:rPr>
          <w:rFonts w:asciiTheme="minorBidi" w:hAnsiTheme="minorBidi"/>
        </w:rPr>
        <w:br/>
      </w:r>
      <w:hyperlink w:anchor="Budgetary" w:history="1">
        <w:r w:rsidR="00752CF3" w:rsidRPr="00752CF3">
          <w:rPr>
            <w:rStyle w:val="Hyperlink"/>
            <w:rFonts w:asciiTheme="minorBidi" w:hAnsiTheme="minorBidi"/>
          </w:rPr>
          <w:t>3. Budgetary implications – implementation</w:t>
        </w:r>
      </w:hyperlink>
      <w:r w:rsidR="00752CF3" w:rsidRPr="00752CF3">
        <w:rPr>
          <w:rStyle w:val="Hyperlink"/>
          <w:rFonts w:asciiTheme="minorBidi" w:hAnsiTheme="minorBidi"/>
        </w:rPr>
        <w:t xml:space="preserve"> does not impose costs</w:t>
      </w:r>
      <w:r w:rsidR="00752CF3" w:rsidRPr="00752CF3">
        <w:rPr>
          <w:rFonts w:asciiTheme="minorBidi" w:hAnsiTheme="minorBidi"/>
        </w:rPr>
        <w:br/>
      </w:r>
      <w:hyperlink w:anchor="Authorized" w:history="1">
        <w:r w:rsidR="00752CF3" w:rsidRPr="00752CF3">
          <w:rPr>
            <w:rStyle w:val="Hyperlink"/>
            <w:rFonts w:asciiTheme="minorBidi" w:hAnsiTheme="minorBidi"/>
          </w:rPr>
          <w:t>4. Authorized entities – no formalities required</w:t>
        </w:r>
      </w:hyperlink>
      <w:r w:rsidR="00752CF3" w:rsidRPr="00752CF3">
        <w:rPr>
          <w:rFonts w:asciiTheme="minorBidi" w:hAnsiTheme="minorBidi"/>
        </w:rPr>
        <w:br/>
      </w:r>
      <w:hyperlink w:anchor="Recordkeeping" w:history="1">
        <w:r w:rsidR="00752CF3" w:rsidRPr="00752CF3">
          <w:rPr>
            <w:rStyle w:val="Hyperlink"/>
            <w:rFonts w:asciiTheme="minorBidi" w:hAnsiTheme="minorBidi"/>
          </w:rPr>
          <w:t>5. Record-keeping requirements – one s</w:t>
        </w:r>
      </w:hyperlink>
      <w:r w:rsidR="00752CF3" w:rsidRPr="00752CF3">
        <w:rPr>
          <w:rStyle w:val="Hyperlink"/>
          <w:rFonts w:asciiTheme="minorBidi" w:hAnsiTheme="minorBidi"/>
        </w:rPr>
        <w:t>tandard</w:t>
      </w:r>
      <w:r w:rsidR="00752CF3" w:rsidRPr="00752CF3">
        <w:rPr>
          <w:rFonts w:asciiTheme="minorBidi" w:hAnsiTheme="minorBidi"/>
        </w:rPr>
        <w:br/>
      </w:r>
      <w:hyperlink w:anchor="Commercial" w:history="1">
        <w:r w:rsidR="00752CF3" w:rsidRPr="00752CF3">
          <w:rPr>
            <w:rStyle w:val="Hyperlink"/>
            <w:rFonts w:asciiTheme="minorBidi" w:hAnsiTheme="minorBidi"/>
          </w:rPr>
          <w:t>6. A commercial availability test and remuneration- n</w:t>
        </w:r>
      </w:hyperlink>
      <w:r w:rsidR="00752CF3" w:rsidRPr="00752CF3">
        <w:rPr>
          <w:rStyle w:val="Hyperlink"/>
          <w:rFonts w:asciiTheme="minorBidi" w:hAnsiTheme="minorBidi"/>
        </w:rPr>
        <w:t>ot required</w:t>
      </w:r>
    </w:p>
    <w:p w14:paraId="266677EF" w14:textId="77777777" w:rsidR="00752CF3" w:rsidRPr="00752CF3" w:rsidRDefault="00752CF3" w:rsidP="00752CF3">
      <w:pPr>
        <w:rPr>
          <w:rFonts w:asciiTheme="minorBidi" w:hAnsiTheme="minorBidi"/>
          <w:lang w:val="en-GB"/>
        </w:rPr>
      </w:pPr>
    </w:p>
    <w:p w14:paraId="4413CBF7" w14:textId="77777777" w:rsidR="00752CF3" w:rsidRPr="00752CF3" w:rsidRDefault="00752CF3" w:rsidP="00752CF3">
      <w:pPr>
        <w:rPr>
          <w:rFonts w:asciiTheme="minorBidi" w:hAnsiTheme="minorBidi"/>
          <w:lang w:val="en-GB"/>
        </w:rPr>
      </w:pPr>
      <w:r w:rsidRPr="00752CF3">
        <w:rPr>
          <w:rFonts w:asciiTheme="minorBidi" w:hAnsiTheme="minorBidi"/>
          <w:lang w:val="en-GB"/>
        </w:rPr>
        <w:br/>
        <w:t>We hope the FAQS are useful to librarians and policy-makers. If there are other issues, please ask!</w:t>
      </w:r>
    </w:p>
    <w:p w14:paraId="468488CA" w14:textId="77777777" w:rsidR="00752CF3" w:rsidRPr="00752CF3" w:rsidRDefault="00752CF3" w:rsidP="00752CF3">
      <w:pPr>
        <w:rPr>
          <w:rFonts w:asciiTheme="minorBidi" w:hAnsiTheme="minorBidi"/>
          <w:lang w:val="en-GB"/>
        </w:rPr>
      </w:pPr>
    </w:p>
    <w:p w14:paraId="658080DA"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Contact Teresa Hackett, EIFL Copyright and Libraries Programme Manager </w:t>
      </w:r>
      <w:r w:rsidRPr="00752CF3">
        <w:rPr>
          <w:rFonts w:asciiTheme="minorBidi" w:hAnsiTheme="minorBidi"/>
          <w:color w:val="1D93C2"/>
          <w:lang w:val="en-GB"/>
        </w:rPr>
        <w:t>&lt;teresa.hackett@eifl.net&gt;</w:t>
      </w:r>
    </w:p>
    <w:p w14:paraId="51F7BFAF" w14:textId="1E514730" w:rsidR="00752CF3" w:rsidRDefault="00752CF3">
      <w:pPr>
        <w:rPr>
          <w:rFonts w:asciiTheme="minorBidi" w:hAnsiTheme="minorBidi"/>
          <w:lang w:val="en-GB"/>
        </w:rPr>
      </w:pPr>
      <w:r>
        <w:rPr>
          <w:rFonts w:asciiTheme="minorBidi" w:hAnsiTheme="minorBidi"/>
          <w:lang w:val="en-GB"/>
        </w:rPr>
        <w:br w:type="page"/>
      </w:r>
    </w:p>
    <w:p w14:paraId="2881719F" w14:textId="77777777" w:rsidR="00752CF3" w:rsidRPr="00752CF3" w:rsidRDefault="00752CF3" w:rsidP="00752CF3">
      <w:pPr>
        <w:pStyle w:val="EIFLHEAD1"/>
      </w:pPr>
      <w:bookmarkStart w:id="1" w:name="Signing"/>
      <w:r w:rsidRPr="00752CF3">
        <w:lastRenderedPageBreak/>
        <w:t>1. Signing, ratifying and acceding to the Marrakesh Treaty</w:t>
      </w:r>
    </w:p>
    <w:bookmarkEnd w:id="1"/>
    <w:p w14:paraId="08F09A76" w14:textId="77777777" w:rsidR="00752CF3" w:rsidRPr="00752CF3" w:rsidRDefault="00752CF3" w:rsidP="00752CF3">
      <w:pPr>
        <w:spacing w:line="360" w:lineRule="auto"/>
        <w:rPr>
          <w:rFonts w:asciiTheme="minorBidi" w:hAnsiTheme="minorBidi"/>
          <w:b/>
          <w:lang w:val="en-GB"/>
        </w:rPr>
      </w:pPr>
    </w:p>
    <w:p w14:paraId="11624F1A" w14:textId="77777777" w:rsidR="00752CF3" w:rsidRPr="00752CF3" w:rsidRDefault="00752CF3" w:rsidP="00752CF3">
      <w:pPr>
        <w:rPr>
          <w:rFonts w:asciiTheme="minorBidi" w:hAnsiTheme="minorBidi"/>
          <w:lang w:val="en-GB"/>
        </w:rPr>
      </w:pPr>
      <w:r w:rsidRPr="00752CF3">
        <w:rPr>
          <w:rFonts w:asciiTheme="minorBidi" w:hAnsiTheme="minorBidi"/>
          <w:lang w:val="en-GB"/>
        </w:rPr>
        <w:t>It is not necessary to have signed the treaty in order to join the treaty.</w:t>
      </w:r>
    </w:p>
    <w:p w14:paraId="03814EB3" w14:textId="77777777" w:rsidR="00752CF3" w:rsidRPr="00752CF3" w:rsidRDefault="00752CF3" w:rsidP="00752CF3">
      <w:pPr>
        <w:rPr>
          <w:rFonts w:asciiTheme="minorBidi" w:hAnsiTheme="minorBidi"/>
          <w:lang w:val="en-GB"/>
        </w:rPr>
      </w:pPr>
    </w:p>
    <w:p w14:paraId="12B4C9A0" w14:textId="77777777" w:rsidR="00752CF3" w:rsidRPr="00752CF3" w:rsidRDefault="00752CF3" w:rsidP="00752CF3">
      <w:pPr>
        <w:rPr>
          <w:rFonts w:asciiTheme="minorBidi" w:hAnsiTheme="minorBidi"/>
          <w:lang w:val="en-GB"/>
        </w:rPr>
      </w:pPr>
      <w:r w:rsidRPr="00752CF3">
        <w:rPr>
          <w:rFonts w:asciiTheme="minorBidi" w:hAnsiTheme="minorBidi"/>
          <w:lang w:val="en-GB"/>
        </w:rPr>
        <w:t>The treaty was open for one year for signature by any WIPO member state i.e. until 27th June 2014 (see Article 17 Signature of the Treaty).</w:t>
      </w:r>
    </w:p>
    <w:p w14:paraId="3CA7B320" w14:textId="77777777" w:rsidR="00752CF3" w:rsidRPr="00752CF3" w:rsidRDefault="00752CF3" w:rsidP="00752CF3">
      <w:pPr>
        <w:rPr>
          <w:rFonts w:asciiTheme="minorBidi" w:hAnsiTheme="minorBidi"/>
          <w:lang w:val="en-GB"/>
        </w:rPr>
      </w:pPr>
    </w:p>
    <w:p w14:paraId="088FAEB7" w14:textId="77777777" w:rsidR="00752CF3" w:rsidRPr="00752CF3" w:rsidRDefault="00752CF3" w:rsidP="00752CF3">
      <w:pPr>
        <w:rPr>
          <w:rFonts w:asciiTheme="minorBidi" w:hAnsiTheme="minorBidi"/>
          <w:lang w:val="en-GB"/>
        </w:rPr>
      </w:pPr>
      <w:r w:rsidRPr="00752CF3">
        <w:rPr>
          <w:rFonts w:asciiTheme="minorBidi" w:hAnsiTheme="minorBidi"/>
          <w:lang w:val="en-GB"/>
        </w:rPr>
        <w:t>During that time 80 countries signed, affirming a</w:t>
      </w:r>
      <w:r w:rsidRPr="00752CF3">
        <w:rPr>
          <w:rFonts w:asciiTheme="minorBidi" w:eastAsia="Times New Roman" w:hAnsiTheme="minorBidi"/>
          <w:lang w:val="en-GB"/>
        </w:rPr>
        <w:t xml:space="preserve"> political intention to support the treaty.</w:t>
      </w:r>
    </w:p>
    <w:p w14:paraId="0B2E5F07" w14:textId="77777777" w:rsidR="00752CF3" w:rsidRPr="00752CF3" w:rsidRDefault="00752CF3" w:rsidP="00752CF3">
      <w:pPr>
        <w:rPr>
          <w:rFonts w:asciiTheme="minorBidi" w:eastAsia="Times New Roman" w:hAnsiTheme="minorBidi"/>
          <w:lang w:val="en-GB"/>
        </w:rPr>
      </w:pPr>
    </w:p>
    <w:p w14:paraId="0D003A08"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 xml:space="preserve">If a country did not sign, it is no problem (at least according to international law). It is not an impediment to joining the treaty - it just means that the process has a different name. </w:t>
      </w:r>
    </w:p>
    <w:p w14:paraId="5CBEF802" w14:textId="77777777" w:rsidR="00752CF3" w:rsidRPr="00752CF3" w:rsidRDefault="00752CF3" w:rsidP="00752CF3">
      <w:pPr>
        <w:rPr>
          <w:rFonts w:asciiTheme="minorBidi" w:eastAsia="Times New Roman" w:hAnsiTheme="minorBidi"/>
          <w:lang w:val="en-GB"/>
        </w:rPr>
      </w:pPr>
    </w:p>
    <w:p w14:paraId="253D39EC"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If a country signed, it is said to ratify the treaty. If a country didn’t sign, it is said to accede to the treaty.</w:t>
      </w:r>
    </w:p>
    <w:p w14:paraId="38E3DA5E" w14:textId="77777777" w:rsidR="00752CF3" w:rsidRPr="00752CF3" w:rsidRDefault="00752CF3" w:rsidP="00752CF3">
      <w:pPr>
        <w:rPr>
          <w:rFonts w:asciiTheme="minorBidi" w:eastAsia="Times New Roman" w:hAnsiTheme="minorBidi"/>
          <w:lang w:val="en-GB"/>
        </w:rPr>
      </w:pPr>
    </w:p>
    <w:p w14:paraId="183D1481"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 xml:space="preserve">For example, India ratified the treaty, because it had signed the treaty. </w:t>
      </w:r>
    </w:p>
    <w:p w14:paraId="7A484FDB" w14:textId="77777777" w:rsidR="00752CF3" w:rsidRPr="00752CF3" w:rsidRDefault="00752CF3" w:rsidP="00752CF3">
      <w:pPr>
        <w:rPr>
          <w:rFonts w:asciiTheme="minorBidi" w:eastAsia="Times New Roman" w:hAnsiTheme="minorBidi"/>
          <w:lang w:val="en-GB"/>
        </w:rPr>
      </w:pPr>
    </w:p>
    <w:p w14:paraId="432C9133"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Canada acceded to the treaty, because it had not signed.</w:t>
      </w:r>
    </w:p>
    <w:p w14:paraId="1FCB291F" w14:textId="77777777" w:rsidR="00752CF3" w:rsidRPr="00752CF3" w:rsidRDefault="00752CF3" w:rsidP="00752CF3">
      <w:pPr>
        <w:rPr>
          <w:rFonts w:asciiTheme="minorBidi" w:eastAsia="Times New Roman" w:hAnsiTheme="minorBidi"/>
          <w:lang w:val="en-GB"/>
        </w:rPr>
      </w:pPr>
    </w:p>
    <w:p w14:paraId="4FF54AB3"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To illustrate, check the list of Contracting Parties for the Marrakesh Treaty on the WIPO website under the column ‘Instrument’.</w:t>
      </w:r>
    </w:p>
    <w:p w14:paraId="7768BBA5" w14:textId="77777777" w:rsidR="00092B68" w:rsidRDefault="0029103F" w:rsidP="00117119">
      <w:pPr>
        <w:spacing w:line="360" w:lineRule="auto"/>
        <w:rPr>
          <w:rStyle w:val="Hyperlink"/>
          <w:rFonts w:asciiTheme="minorBidi" w:eastAsia="Times New Roman" w:hAnsiTheme="minorBidi"/>
          <w:lang w:val="en-GB"/>
        </w:rPr>
      </w:pPr>
      <w:hyperlink r:id="rId7" w:history="1">
        <w:r w:rsidR="00752CF3" w:rsidRPr="00752CF3">
          <w:rPr>
            <w:rStyle w:val="Hyperlink"/>
            <w:rFonts w:asciiTheme="minorBidi" w:eastAsia="Times New Roman" w:hAnsiTheme="minorBidi"/>
            <w:lang w:val="en-GB"/>
          </w:rPr>
          <w:t>http://www.wipo.int/treaties/en/ShowResults.jsp?lang=en&amp;treaty_id=843</w:t>
        </w:r>
      </w:hyperlink>
    </w:p>
    <w:p w14:paraId="274B5D9B" w14:textId="77777777" w:rsidR="00092B68" w:rsidRPr="00117119" w:rsidRDefault="00092B68" w:rsidP="00092B68">
      <w:pPr>
        <w:pStyle w:val="ListParagraph"/>
        <w:ind w:left="0"/>
        <w:jc w:val="right"/>
        <w:rPr>
          <w:rFonts w:asciiTheme="minorBidi" w:eastAsia="Times New Roman" w:hAnsiTheme="minorBidi"/>
          <w:b/>
          <w:bCs/>
          <w:color w:val="00B0F0"/>
          <w:lang w:val="en-GB"/>
        </w:rPr>
      </w:pPr>
      <w:hyperlink w:anchor="_top" w:history="1">
        <w:r w:rsidRPr="00117119">
          <w:rPr>
            <w:rStyle w:val="Hyperlink"/>
            <w:rFonts w:asciiTheme="minorBidi" w:eastAsia="Times New Roman" w:hAnsiTheme="minorBidi"/>
            <w:b/>
            <w:bCs/>
            <w:color w:val="00B0F0"/>
            <w:lang w:val="en-GB"/>
          </w:rPr>
          <w:t>Back to top</w:t>
        </w:r>
      </w:hyperlink>
    </w:p>
    <w:p w14:paraId="103F96F6" w14:textId="1152DAFA" w:rsidR="00752CF3" w:rsidRPr="00117119" w:rsidRDefault="00752CF3" w:rsidP="00117119">
      <w:pPr>
        <w:spacing w:line="360" w:lineRule="auto"/>
        <w:rPr>
          <w:rFonts w:asciiTheme="minorBidi" w:eastAsia="Times New Roman" w:hAnsiTheme="minorBidi"/>
          <w:color w:val="0000FF"/>
          <w:u w:val="single"/>
          <w:lang w:val="en-GB"/>
        </w:rPr>
      </w:pPr>
    </w:p>
    <w:p w14:paraId="728F1E5A" w14:textId="77777777" w:rsidR="00752CF3" w:rsidRPr="00752CF3" w:rsidRDefault="00752CF3" w:rsidP="00752CF3">
      <w:pPr>
        <w:pStyle w:val="EIFLHEAD1"/>
      </w:pPr>
      <w:bookmarkStart w:id="2" w:name="Legislation"/>
      <w:r w:rsidRPr="00752CF3">
        <w:t>2. Legislation implementing Marrakesh can be advanced on its own</w:t>
      </w:r>
    </w:p>
    <w:bookmarkEnd w:id="2"/>
    <w:p w14:paraId="778C4B5E" w14:textId="77777777" w:rsidR="00752CF3" w:rsidRPr="00752CF3" w:rsidRDefault="00752CF3" w:rsidP="00752CF3">
      <w:pPr>
        <w:pStyle w:val="ListParagraph"/>
        <w:spacing w:line="360" w:lineRule="auto"/>
        <w:ind w:left="0"/>
        <w:rPr>
          <w:rFonts w:asciiTheme="minorBidi" w:eastAsia="Times New Roman" w:hAnsiTheme="minorBidi"/>
          <w:lang w:val="en-GB"/>
        </w:rPr>
      </w:pPr>
    </w:p>
    <w:p w14:paraId="5C344BE9" w14:textId="77777777" w:rsidR="00752CF3" w:rsidRPr="00752CF3" w:rsidRDefault="00752CF3" w:rsidP="00752CF3">
      <w:pPr>
        <w:rPr>
          <w:rFonts w:asciiTheme="minorBidi" w:hAnsiTheme="minorBidi"/>
        </w:rPr>
      </w:pPr>
      <w:r w:rsidRPr="00752CF3">
        <w:rPr>
          <w:rFonts w:asciiTheme="minorBidi" w:hAnsiTheme="minorBidi"/>
        </w:rPr>
        <w:t>The Marrakesh Treaty is a stand-alone treaty. Legislation implementing Marrakesh can be advanced on its own.</w:t>
      </w:r>
    </w:p>
    <w:p w14:paraId="5D50FFBC" w14:textId="77777777" w:rsidR="00752CF3" w:rsidRPr="00752CF3" w:rsidRDefault="00752CF3" w:rsidP="00752CF3">
      <w:pPr>
        <w:pStyle w:val="ListParagraph"/>
        <w:ind w:left="0"/>
        <w:rPr>
          <w:rFonts w:asciiTheme="minorBidi" w:eastAsia="Times New Roman" w:hAnsiTheme="minorBidi"/>
          <w:lang w:val="en-GB"/>
        </w:rPr>
      </w:pPr>
    </w:p>
    <w:p w14:paraId="076FC430" w14:textId="77777777" w:rsidR="00752CF3" w:rsidRPr="00752CF3" w:rsidRDefault="00752CF3" w:rsidP="00752CF3">
      <w:pPr>
        <w:pStyle w:val="ListParagraph"/>
        <w:ind w:left="0"/>
        <w:rPr>
          <w:rStyle w:val="st"/>
          <w:rFonts w:asciiTheme="minorBidi" w:eastAsia="Times New Roman" w:hAnsiTheme="minorBidi"/>
          <w:lang w:val="en-GB"/>
        </w:rPr>
      </w:pPr>
      <w:r w:rsidRPr="00752CF3">
        <w:rPr>
          <w:rFonts w:asciiTheme="minorBidi" w:eastAsia="Times New Roman" w:hAnsiTheme="minorBidi"/>
          <w:lang w:val="en-GB"/>
        </w:rPr>
        <w:t xml:space="preserve">It is not necessary to ratify or implement Marrakesh with any other treaty e.g. the Berne Convention, the WIPO Copyright Treaty (WCT) or the </w:t>
      </w:r>
      <w:r w:rsidRPr="00752CF3">
        <w:rPr>
          <w:rStyle w:val="Emphasis"/>
          <w:rFonts w:asciiTheme="minorBidi" w:eastAsia="Times New Roman" w:hAnsiTheme="minorBidi"/>
          <w:lang w:val="en-GB"/>
        </w:rPr>
        <w:t>Beijing Treaty</w:t>
      </w:r>
      <w:r w:rsidRPr="00752CF3">
        <w:rPr>
          <w:rStyle w:val="st"/>
          <w:rFonts w:asciiTheme="minorBidi" w:eastAsia="Times New Roman" w:hAnsiTheme="minorBidi"/>
          <w:lang w:val="en-GB"/>
        </w:rPr>
        <w:t xml:space="preserve"> on Audiovisual Performances.</w:t>
      </w:r>
    </w:p>
    <w:p w14:paraId="65C626B3" w14:textId="77777777" w:rsidR="00752CF3" w:rsidRPr="00752CF3" w:rsidRDefault="00752CF3" w:rsidP="00752CF3">
      <w:pPr>
        <w:pStyle w:val="ListParagraph"/>
        <w:ind w:left="0"/>
        <w:rPr>
          <w:rFonts w:asciiTheme="minorBidi" w:eastAsia="Times New Roman" w:hAnsiTheme="minorBidi"/>
          <w:lang w:val="en-GB"/>
        </w:rPr>
      </w:pPr>
    </w:p>
    <w:p w14:paraId="7DC782E1" w14:textId="77777777" w:rsidR="00752CF3" w:rsidRPr="00752CF3" w:rsidRDefault="00752CF3" w:rsidP="00752CF3">
      <w:pPr>
        <w:pStyle w:val="ListParagraph"/>
        <w:ind w:left="0"/>
        <w:rPr>
          <w:rFonts w:asciiTheme="minorBidi" w:eastAsia="Times New Roman" w:hAnsiTheme="minorBidi"/>
          <w:lang w:val="en-GB"/>
        </w:rPr>
      </w:pPr>
      <w:r w:rsidRPr="00752CF3">
        <w:rPr>
          <w:rFonts w:asciiTheme="minorBidi" w:eastAsia="Times New Roman" w:hAnsiTheme="minorBidi"/>
          <w:lang w:val="en-GB"/>
        </w:rPr>
        <w:t>All WIPO member states, irrespective of membership or otherwise of any other treaty or international agreement, may ratify Marrakesh and participate in cross-border exchange of accessible formats (Article 5(4)).</w:t>
      </w:r>
    </w:p>
    <w:p w14:paraId="69F4FA7B" w14:textId="77777777" w:rsidR="00752CF3" w:rsidRPr="00752CF3" w:rsidRDefault="00752CF3" w:rsidP="00752CF3">
      <w:pPr>
        <w:pStyle w:val="ListParagraph"/>
        <w:ind w:left="0"/>
        <w:rPr>
          <w:rFonts w:asciiTheme="minorBidi" w:eastAsia="Times New Roman" w:hAnsiTheme="minorBidi"/>
          <w:lang w:val="en-GB"/>
        </w:rPr>
      </w:pPr>
    </w:p>
    <w:p w14:paraId="763A2D8D" w14:textId="77777777" w:rsidR="00752CF3" w:rsidRPr="00752CF3" w:rsidRDefault="00752CF3" w:rsidP="00752CF3">
      <w:pPr>
        <w:pStyle w:val="ListParagraph"/>
        <w:ind w:left="0"/>
        <w:rPr>
          <w:rFonts w:asciiTheme="minorBidi" w:eastAsia="Times New Roman" w:hAnsiTheme="minorBidi"/>
          <w:lang w:val="en-GB"/>
        </w:rPr>
      </w:pPr>
      <w:r w:rsidRPr="00752CF3">
        <w:rPr>
          <w:rFonts w:asciiTheme="minorBidi" w:eastAsia="Times New Roman" w:hAnsiTheme="minorBidi"/>
          <w:lang w:val="en-GB"/>
        </w:rPr>
        <w:t>Marrakesh is not part of a package and as such it shouldn’t be tied to any other treaty. In fact, as a human rights treaty, it should stand squarely on its own merits.</w:t>
      </w:r>
    </w:p>
    <w:p w14:paraId="30F27781" w14:textId="77777777" w:rsidR="00752CF3" w:rsidRPr="00752CF3" w:rsidRDefault="00752CF3" w:rsidP="00752CF3">
      <w:pPr>
        <w:pStyle w:val="ListParagraph"/>
        <w:ind w:left="0"/>
        <w:rPr>
          <w:rFonts w:asciiTheme="minorBidi" w:eastAsia="Times New Roman" w:hAnsiTheme="minorBidi"/>
          <w:lang w:val="en-GB"/>
        </w:rPr>
      </w:pPr>
    </w:p>
    <w:p w14:paraId="60DF5E50" w14:textId="6DC209E7" w:rsidR="00752CF3" w:rsidRPr="00117119" w:rsidRDefault="0029103F" w:rsidP="00117119">
      <w:pPr>
        <w:pStyle w:val="ListParagraph"/>
        <w:ind w:left="0"/>
        <w:jc w:val="right"/>
        <w:rPr>
          <w:rFonts w:asciiTheme="minorBidi" w:eastAsia="Times New Roman" w:hAnsiTheme="minorBidi"/>
          <w:b/>
          <w:bCs/>
          <w:color w:val="00B0F0"/>
          <w:lang w:val="en-GB"/>
        </w:rPr>
      </w:pPr>
      <w:hyperlink w:anchor="_top" w:history="1">
        <w:r w:rsidR="00117119" w:rsidRPr="00117119">
          <w:rPr>
            <w:rStyle w:val="Hyperlink"/>
            <w:rFonts w:asciiTheme="minorBidi" w:eastAsia="Times New Roman" w:hAnsiTheme="minorBidi"/>
            <w:b/>
            <w:bCs/>
            <w:color w:val="00B0F0"/>
            <w:lang w:val="en-GB"/>
          </w:rPr>
          <w:t>Back to top</w:t>
        </w:r>
      </w:hyperlink>
    </w:p>
    <w:p w14:paraId="743203B8" w14:textId="77777777" w:rsidR="00752CF3" w:rsidRPr="00752CF3" w:rsidRDefault="00752CF3" w:rsidP="00752CF3">
      <w:pPr>
        <w:spacing w:line="360" w:lineRule="auto"/>
        <w:rPr>
          <w:rFonts w:asciiTheme="minorBidi" w:eastAsia="Times New Roman" w:hAnsiTheme="minorBidi"/>
          <w:lang w:val="en-GB"/>
        </w:rPr>
      </w:pPr>
    </w:p>
    <w:p w14:paraId="3DC58FD2" w14:textId="77777777" w:rsidR="00752CF3" w:rsidRPr="00752CF3" w:rsidRDefault="00752CF3" w:rsidP="00752CF3">
      <w:pPr>
        <w:spacing w:line="360" w:lineRule="auto"/>
        <w:rPr>
          <w:rFonts w:asciiTheme="minorBidi" w:eastAsia="Times New Roman" w:hAnsiTheme="minorBidi"/>
          <w:lang w:val="en-GB"/>
        </w:rPr>
      </w:pPr>
    </w:p>
    <w:p w14:paraId="1B440670" w14:textId="77777777" w:rsidR="00752CF3" w:rsidRPr="00752CF3" w:rsidRDefault="00752CF3" w:rsidP="00752CF3">
      <w:pPr>
        <w:pStyle w:val="EIFLHEAD1"/>
      </w:pPr>
      <w:bookmarkStart w:id="3" w:name="Budgetary"/>
      <w:r w:rsidRPr="00752CF3">
        <w:t>3. Budgetary implications – implementation does not impose costs</w:t>
      </w:r>
    </w:p>
    <w:bookmarkEnd w:id="3"/>
    <w:p w14:paraId="1BB7B0C2" w14:textId="77777777" w:rsidR="00752CF3" w:rsidRPr="00752CF3" w:rsidRDefault="00752CF3" w:rsidP="00752CF3">
      <w:pPr>
        <w:rPr>
          <w:rFonts w:asciiTheme="minorBidi" w:hAnsiTheme="minorBidi"/>
          <w:lang w:val="en-GB"/>
        </w:rPr>
      </w:pPr>
    </w:p>
    <w:p w14:paraId="7104D38C" w14:textId="77777777" w:rsidR="00752CF3" w:rsidRPr="00752CF3" w:rsidRDefault="00752CF3" w:rsidP="00752CF3">
      <w:pPr>
        <w:rPr>
          <w:rFonts w:asciiTheme="minorBidi" w:hAnsiTheme="minorBidi"/>
          <w:lang w:val="en-GB"/>
        </w:rPr>
      </w:pPr>
      <w:r w:rsidRPr="00752CF3">
        <w:rPr>
          <w:rFonts w:asciiTheme="minorBidi" w:hAnsiTheme="minorBidi"/>
          <w:lang w:val="en-GB"/>
        </w:rPr>
        <w:t>Implementation of the Marrakesh Treaty does not impose costs.</w:t>
      </w:r>
    </w:p>
    <w:p w14:paraId="6134903A" w14:textId="77777777" w:rsidR="00752CF3" w:rsidRPr="00752CF3" w:rsidRDefault="00752CF3" w:rsidP="00752CF3">
      <w:pPr>
        <w:rPr>
          <w:rFonts w:asciiTheme="minorBidi" w:hAnsiTheme="minorBidi"/>
          <w:lang w:val="en-GB"/>
        </w:rPr>
      </w:pPr>
    </w:p>
    <w:p w14:paraId="388DF057"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The Marrakesh Treaty does not impose an obligation to provide accessible format copies – it simply confers </w:t>
      </w:r>
      <w:r w:rsidRPr="00752CF3">
        <w:rPr>
          <w:rFonts w:asciiTheme="minorBidi" w:hAnsiTheme="minorBidi"/>
          <w:u w:val="single"/>
          <w:lang w:val="en-GB"/>
        </w:rPr>
        <w:t>the right to make an accessible copy</w:t>
      </w:r>
      <w:r w:rsidRPr="00752CF3">
        <w:rPr>
          <w:rFonts w:asciiTheme="minorBidi" w:hAnsiTheme="minorBidi"/>
          <w:lang w:val="en-GB"/>
        </w:rPr>
        <w:t>. In other words, the treaty grants permission to do things that can’t be done without permission.</w:t>
      </w:r>
    </w:p>
    <w:p w14:paraId="384A0954" w14:textId="77777777" w:rsidR="00752CF3" w:rsidRPr="00752CF3" w:rsidRDefault="00752CF3" w:rsidP="00752CF3">
      <w:pPr>
        <w:rPr>
          <w:rFonts w:asciiTheme="minorBidi" w:hAnsiTheme="minorBidi"/>
          <w:lang w:val="en-GB"/>
        </w:rPr>
      </w:pPr>
    </w:p>
    <w:p w14:paraId="0B54BF8C" w14:textId="77777777" w:rsidR="00752CF3" w:rsidRPr="00752CF3" w:rsidRDefault="00752CF3" w:rsidP="00752CF3">
      <w:pPr>
        <w:rPr>
          <w:rFonts w:asciiTheme="minorBidi" w:hAnsiTheme="minorBidi"/>
          <w:lang w:val="en-GB"/>
        </w:rPr>
      </w:pPr>
      <w:r w:rsidRPr="00752CF3">
        <w:rPr>
          <w:rFonts w:asciiTheme="minorBidi" w:hAnsiTheme="minorBidi"/>
          <w:lang w:val="en-GB"/>
        </w:rPr>
        <w:t>By establishing the international legal framework, it is hoped that the treaty will result in the extension of existing services to blind and visually impaired people, and that new services will be established in countries that currently have none.</w:t>
      </w:r>
    </w:p>
    <w:p w14:paraId="4D452424" w14:textId="77777777" w:rsidR="00752CF3" w:rsidRPr="00752CF3" w:rsidRDefault="00752CF3" w:rsidP="00752CF3">
      <w:pPr>
        <w:rPr>
          <w:rFonts w:asciiTheme="minorBidi" w:hAnsiTheme="minorBidi"/>
          <w:lang w:val="en-GB"/>
        </w:rPr>
      </w:pPr>
    </w:p>
    <w:p w14:paraId="70886173" w14:textId="77777777" w:rsidR="00752CF3" w:rsidRPr="00752CF3" w:rsidRDefault="00752CF3" w:rsidP="00752CF3">
      <w:pPr>
        <w:rPr>
          <w:rFonts w:asciiTheme="minorBidi" w:hAnsiTheme="minorBidi"/>
          <w:lang w:val="en-GB"/>
        </w:rPr>
      </w:pPr>
      <w:r w:rsidRPr="00752CF3">
        <w:rPr>
          <w:rFonts w:asciiTheme="minorBidi" w:hAnsiTheme="minorBidi"/>
          <w:lang w:val="en-GB"/>
        </w:rPr>
        <w:t>But how that happens is a decision for each country, and for each individual institution to decide how and to whom services will be provided.</w:t>
      </w:r>
    </w:p>
    <w:p w14:paraId="3B0F79F4" w14:textId="77777777" w:rsidR="00752CF3" w:rsidRPr="00752CF3" w:rsidRDefault="00752CF3" w:rsidP="00752CF3">
      <w:pPr>
        <w:rPr>
          <w:rFonts w:asciiTheme="minorBidi" w:hAnsiTheme="minorBidi"/>
          <w:lang w:val="en-GB"/>
        </w:rPr>
      </w:pPr>
    </w:p>
    <w:p w14:paraId="5BC6652C" w14:textId="77777777" w:rsidR="00752CF3" w:rsidRPr="00752CF3" w:rsidRDefault="00752CF3" w:rsidP="00752CF3">
      <w:pPr>
        <w:rPr>
          <w:rFonts w:asciiTheme="minorBidi" w:hAnsiTheme="minorBidi"/>
          <w:lang w:val="en-GB"/>
        </w:rPr>
      </w:pPr>
      <w:r w:rsidRPr="00752CF3">
        <w:rPr>
          <w:rFonts w:asciiTheme="minorBidi" w:hAnsiTheme="minorBidi"/>
          <w:lang w:val="en-GB"/>
        </w:rPr>
        <w:t>In fact, the treaty will result in significant cost savings. When a library can get an accessible copy of a work from another country instead of having to produce it themselves, it saves time and money – in many cases public funds.</w:t>
      </w:r>
    </w:p>
    <w:p w14:paraId="65243986" w14:textId="77777777" w:rsidR="00752CF3" w:rsidRPr="00752CF3" w:rsidRDefault="00752CF3" w:rsidP="00752CF3">
      <w:pPr>
        <w:rPr>
          <w:rFonts w:asciiTheme="minorBidi" w:hAnsiTheme="minorBidi"/>
          <w:lang w:val="en-GB"/>
        </w:rPr>
      </w:pPr>
    </w:p>
    <w:p w14:paraId="39BFC324"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For example, Vision Australia estimates the full production costs for a book to be approx. USD 2000 per book</w:t>
      </w:r>
      <w:r w:rsidRPr="00752CF3">
        <w:rPr>
          <w:rStyle w:val="FootnoteReference"/>
          <w:rFonts w:asciiTheme="minorBidi" w:eastAsia="Times New Roman" w:hAnsiTheme="minorBidi"/>
          <w:lang w:val="en-GB"/>
        </w:rPr>
        <w:footnoteReference w:id="1"/>
      </w:r>
      <w:r w:rsidRPr="00752CF3">
        <w:rPr>
          <w:rFonts w:asciiTheme="minorBidi" w:eastAsia="Times New Roman" w:hAnsiTheme="minorBidi"/>
          <w:lang w:val="en-GB"/>
        </w:rPr>
        <w:t>. </w:t>
      </w:r>
      <w:r w:rsidRPr="00752CF3">
        <w:rPr>
          <w:rFonts w:asciiTheme="minorBidi" w:hAnsiTheme="minorBidi"/>
          <w:lang w:val="en-GB"/>
        </w:rPr>
        <w:t xml:space="preserve"> </w:t>
      </w:r>
      <w:r w:rsidRPr="00752CF3">
        <w:rPr>
          <w:rFonts w:asciiTheme="minorBidi" w:eastAsia="Times New Roman" w:hAnsiTheme="minorBidi"/>
          <w:lang w:val="en-GB"/>
        </w:rPr>
        <w:t>The WIPO Accessible Book Consortium</w:t>
      </w:r>
      <w:bookmarkStart w:id="4" w:name="_GoBack"/>
      <w:bookmarkEnd w:id="4"/>
      <w:r w:rsidRPr="00752CF3">
        <w:rPr>
          <w:rFonts w:asciiTheme="minorBidi" w:eastAsia="Times New Roman" w:hAnsiTheme="minorBidi"/>
          <w:lang w:val="en-GB"/>
        </w:rPr>
        <w:t xml:space="preserve"> estimates that the 19 </w:t>
      </w:r>
      <w:r w:rsidRPr="00752CF3">
        <w:rPr>
          <w:rFonts w:asciiTheme="minorBidi" w:hAnsiTheme="minorBidi"/>
          <w:lang w:val="en-GB"/>
        </w:rPr>
        <w:t>p</w:t>
      </w:r>
      <w:r w:rsidRPr="00752CF3">
        <w:rPr>
          <w:rFonts w:asciiTheme="minorBidi" w:eastAsia="Times New Roman" w:hAnsiTheme="minorBidi"/>
          <w:lang w:val="en-GB"/>
        </w:rPr>
        <w:t>articipating libraries in 16 countries saved $11 million in production costs (for a book read aloud by a person) by downloading 5,500 electronic books into their collections</w:t>
      </w:r>
      <w:r w:rsidRPr="00752CF3">
        <w:rPr>
          <w:rStyle w:val="FootnoteReference"/>
          <w:rFonts w:asciiTheme="minorBidi" w:eastAsia="Times New Roman" w:hAnsiTheme="minorBidi"/>
          <w:lang w:val="en-GB"/>
        </w:rPr>
        <w:footnoteReference w:id="2"/>
      </w:r>
      <w:r w:rsidRPr="00752CF3">
        <w:rPr>
          <w:rFonts w:asciiTheme="minorBidi" w:eastAsia="Times New Roman" w:hAnsiTheme="minorBidi"/>
          <w:lang w:val="en-GB"/>
        </w:rPr>
        <w:t>.</w:t>
      </w:r>
    </w:p>
    <w:p w14:paraId="0CAE006B" w14:textId="77777777" w:rsidR="00752CF3" w:rsidRPr="00752CF3" w:rsidRDefault="00752CF3" w:rsidP="00752CF3">
      <w:pPr>
        <w:rPr>
          <w:rFonts w:asciiTheme="minorBidi" w:eastAsia="Times New Roman" w:hAnsiTheme="minorBidi"/>
          <w:lang w:val="en-GB"/>
        </w:rPr>
      </w:pPr>
    </w:p>
    <w:p w14:paraId="0A52AF2A"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It is also important to note that no big infrastructure is necessary for implementation.</w:t>
      </w:r>
    </w:p>
    <w:p w14:paraId="21168AC4" w14:textId="77777777" w:rsidR="00752CF3" w:rsidRPr="00752CF3" w:rsidRDefault="00752CF3" w:rsidP="00752CF3">
      <w:pPr>
        <w:rPr>
          <w:rFonts w:asciiTheme="minorBidi" w:eastAsia="Times New Roman" w:hAnsiTheme="minorBidi"/>
          <w:lang w:val="en-GB"/>
        </w:rPr>
      </w:pPr>
    </w:p>
    <w:p w14:paraId="78D656FE"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 xml:space="preserve">First, the treaty allows works to be sent directly to beneficiaries (Article 4(2)(a)). </w:t>
      </w:r>
    </w:p>
    <w:p w14:paraId="51D44DA7" w14:textId="77777777" w:rsidR="00752CF3" w:rsidRPr="00752CF3" w:rsidRDefault="00752CF3" w:rsidP="00752CF3">
      <w:pPr>
        <w:rPr>
          <w:rFonts w:asciiTheme="minorBidi" w:eastAsia="Times New Roman" w:hAnsiTheme="minorBidi"/>
          <w:lang w:val="en-GB"/>
        </w:rPr>
      </w:pPr>
    </w:p>
    <w:p w14:paraId="58B3D16A"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Second, since the definition of authorized entity (Article 2(c)) covers libraries, library networks such as public or university libraries that exist in every country, are well placed to take a lead role in implementation.</w:t>
      </w:r>
    </w:p>
    <w:p w14:paraId="0575AFDF" w14:textId="77777777" w:rsidR="00752CF3" w:rsidRPr="00752CF3" w:rsidRDefault="00752CF3" w:rsidP="00752CF3">
      <w:pPr>
        <w:rPr>
          <w:rFonts w:asciiTheme="minorBidi" w:eastAsia="Times New Roman" w:hAnsiTheme="minorBidi"/>
          <w:color w:val="FF6600"/>
          <w:lang w:val="en-GB"/>
        </w:rPr>
      </w:pPr>
    </w:p>
    <w:p w14:paraId="0EE8A1C1" w14:textId="77777777" w:rsidR="00752CF3" w:rsidRPr="00752CF3" w:rsidRDefault="00752CF3" w:rsidP="00752CF3">
      <w:pPr>
        <w:rPr>
          <w:rFonts w:asciiTheme="minorBidi" w:eastAsia="Times New Roman" w:hAnsiTheme="minorBidi"/>
          <w:lang w:val="en-GB"/>
        </w:rPr>
      </w:pPr>
      <w:r w:rsidRPr="00752CF3">
        <w:rPr>
          <w:rFonts w:asciiTheme="minorBidi" w:eastAsia="Times New Roman" w:hAnsiTheme="minorBidi"/>
          <w:lang w:val="en-GB"/>
        </w:rPr>
        <w:t>The Marrakesh Treaty provides the starting point to build or expand the infrastructure.</w:t>
      </w:r>
    </w:p>
    <w:p w14:paraId="0D92353E" w14:textId="77777777" w:rsidR="00752CF3" w:rsidRPr="00752CF3" w:rsidRDefault="00752CF3" w:rsidP="00752CF3">
      <w:pPr>
        <w:rPr>
          <w:rFonts w:asciiTheme="minorBidi" w:eastAsia="Times New Roman" w:hAnsiTheme="minorBidi"/>
          <w:lang w:val="en-GB"/>
        </w:rPr>
      </w:pPr>
    </w:p>
    <w:p w14:paraId="3D1153FB" w14:textId="77777777" w:rsidR="00752CF3" w:rsidRPr="00752CF3" w:rsidRDefault="00752CF3" w:rsidP="00752CF3">
      <w:pPr>
        <w:rPr>
          <w:rFonts w:asciiTheme="minorBidi" w:hAnsiTheme="minorBidi"/>
          <w:lang w:val="en-GB"/>
        </w:rPr>
      </w:pPr>
      <w:r w:rsidRPr="00752CF3">
        <w:rPr>
          <w:rFonts w:asciiTheme="minorBidi" w:hAnsiTheme="minorBidi"/>
          <w:lang w:val="en-GB"/>
        </w:rPr>
        <w:t>Note that the EU in its proposal for Marrakesh implementation states that there is no impact on the Union budget</w:t>
      </w:r>
      <w:r w:rsidRPr="00752CF3">
        <w:rPr>
          <w:rStyle w:val="FootnoteReference"/>
          <w:rFonts w:asciiTheme="minorBidi" w:hAnsiTheme="minorBidi"/>
          <w:lang w:val="en-GB"/>
        </w:rPr>
        <w:footnoteReference w:id="3"/>
      </w:r>
      <w:r w:rsidRPr="00752CF3">
        <w:rPr>
          <w:rFonts w:asciiTheme="minorBidi" w:hAnsiTheme="minorBidi"/>
          <w:lang w:val="en-GB"/>
        </w:rPr>
        <w:t>.</w:t>
      </w:r>
    </w:p>
    <w:p w14:paraId="7E42AC9D" w14:textId="77777777" w:rsidR="00207929" w:rsidRPr="00752CF3" w:rsidRDefault="00207929" w:rsidP="00752CF3">
      <w:pPr>
        <w:rPr>
          <w:rFonts w:asciiTheme="minorBidi" w:hAnsiTheme="minorBidi"/>
          <w:lang w:val="en-GB"/>
        </w:rPr>
      </w:pPr>
    </w:p>
    <w:p w14:paraId="32A7703A" w14:textId="77777777" w:rsidR="00092B68" w:rsidRDefault="00092B68" w:rsidP="00092B68">
      <w:pPr>
        <w:pStyle w:val="ListParagraph"/>
        <w:ind w:left="0"/>
        <w:jc w:val="right"/>
        <w:rPr>
          <w:rStyle w:val="Hyperlink"/>
          <w:rFonts w:asciiTheme="minorBidi" w:eastAsia="Times New Roman" w:hAnsiTheme="minorBidi"/>
          <w:b/>
          <w:bCs/>
          <w:color w:val="00B0F0"/>
          <w:lang w:val="en-GB"/>
        </w:rPr>
      </w:pPr>
      <w:hyperlink w:anchor="_top" w:history="1">
        <w:r w:rsidRPr="00117119">
          <w:rPr>
            <w:rStyle w:val="Hyperlink"/>
            <w:rFonts w:asciiTheme="minorBidi" w:eastAsia="Times New Roman" w:hAnsiTheme="minorBidi"/>
            <w:b/>
            <w:bCs/>
            <w:color w:val="00B0F0"/>
            <w:lang w:val="en-GB"/>
          </w:rPr>
          <w:t>Back to top</w:t>
        </w:r>
      </w:hyperlink>
    </w:p>
    <w:p w14:paraId="5EE4F021" w14:textId="77777777" w:rsidR="00207929" w:rsidRPr="00117119" w:rsidRDefault="00207929" w:rsidP="00092B68">
      <w:pPr>
        <w:pStyle w:val="ListParagraph"/>
        <w:ind w:left="0"/>
        <w:jc w:val="right"/>
        <w:rPr>
          <w:rFonts w:asciiTheme="minorBidi" w:eastAsia="Times New Roman" w:hAnsiTheme="minorBidi"/>
          <w:b/>
          <w:bCs/>
          <w:color w:val="00B0F0"/>
          <w:lang w:val="en-GB"/>
        </w:rPr>
      </w:pPr>
    </w:p>
    <w:p w14:paraId="09332F61" w14:textId="77777777" w:rsidR="00752CF3" w:rsidRDefault="00752CF3" w:rsidP="00752CF3">
      <w:pPr>
        <w:rPr>
          <w:rFonts w:asciiTheme="minorBidi" w:hAnsiTheme="minorBidi"/>
          <w:lang w:val="en-GB"/>
        </w:rPr>
      </w:pPr>
    </w:p>
    <w:p w14:paraId="519B461E" w14:textId="77777777" w:rsidR="00207929" w:rsidRPr="00752CF3" w:rsidRDefault="00207929" w:rsidP="00752CF3">
      <w:pPr>
        <w:rPr>
          <w:rFonts w:asciiTheme="minorBidi" w:hAnsiTheme="minorBidi"/>
          <w:lang w:val="en-GB"/>
        </w:rPr>
      </w:pPr>
    </w:p>
    <w:p w14:paraId="7F645A7D" w14:textId="77777777" w:rsidR="00752CF3" w:rsidRPr="00752CF3" w:rsidRDefault="00752CF3" w:rsidP="00752CF3">
      <w:pPr>
        <w:pStyle w:val="EIFLHEAD1"/>
      </w:pPr>
      <w:bookmarkStart w:id="5" w:name="Authorized"/>
      <w:r w:rsidRPr="00752CF3">
        <w:t>4. Authorized entities – no formalities required</w:t>
      </w:r>
    </w:p>
    <w:bookmarkEnd w:id="5"/>
    <w:p w14:paraId="47F07AE0" w14:textId="77777777" w:rsidR="00752CF3" w:rsidRPr="00752CF3" w:rsidRDefault="00752CF3" w:rsidP="00752CF3">
      <w:pPr>
        <w:spacing w:after="240"/>
        <w:rPr>
          <w:rFonts w:asciiTheme="minorBidi" w:eastAsia="Times New Roman" w:hAnsiTheme="minorBidi"/>
          <w:lang w:val="en-GB"/>
        </w:rPr>
      </w:pPr>
      <w:r w:rsidRPr="00752CF3">
        <w:rPr>
          <w:rFonts w:asciiTheme="minorBidi" w:eastAsia="Times New Roman" w:hAnsiTheme="minorBidi"/>
          <w:lang w:val="en-GB"/>
        </w:rPr>
        <w:br/>
        <w:t>The definition of authorized entity in the treaty is very broad (Article 2(c)). This was deliberate.</w:t>
      </w:r>
    </w:p>
    <w:p w14:paraId="6FA6BAD0" w14:textId="77777777" w:rsidR="00752CF3" w:rsidRPr="00752CF3" w:rsidRDefault="00752CF3" w:rsidP="00752CF3">
      <w:pPr>
        <w:spacing w:after="240"/>
        <w:rPr>
          <w:rFonts w:asciiTheme="minorBidi" w:eastAsia="Times New Roman" w:hAnsiTheme="minorBidi"/>
          <w:lang w:val="en-GB"/>
        </w:rPr>
      </w:pPr>
      <w:r w:rsidRPr="00752CF3">
        <w:rPr>
          <w:rFonts w:asciiTheme="minorBidi" w:eastAsia="Times New Roman" w:hAnsiTheme="minorBidi"/>
          <w:lang w:val="en-GB"/>
        </w:rPr>
        <w:t>Since the objective of the treaty is to end the book famine, as many institutions as possible should be encouraged to avail of the treaty, and to provide services to people with print disabilities.</w:t>
      </w:r>
    </w:p>
    <w:p w14:paraId="6A59BCCA" w14:textId="77777777" w:rsidR="00752CF3" w:rsidRPr="00752CF3" w:rsidRDefault="00752CF3" w:rsidP="00752CF3">
      <w:pPr>
        <w:spacing w:after="240"/>
        <w:rPr>
          <w:rFonts w:asciiTheme="minorBidi" w:eastAsia="Times New Roman" w:hAnsiTheme="minorBidi"/>
          <w:lang w:val="en-GB"/>
        </w:rPr>
      </w:pPr>
      <w:r w:rsidRPr="00752CF3">
        <w:rPr>
          <w:rFonts w:asciiTheme="minorBidi" w:eastAsia="Times New Roman" w:hAnsiTheme="minorBidi"/>
          <w:lang w:val="en-GB"/>
        </w:rPr>
        <w:t>Thus there are no formalities to becoming an authorized entity – no government approval is required, and there is no authorization process.</w:t>
      </w:r>
    </w:p>
    <w:p w14:paraId="0FAC7BB6" w14:textId="77777777" w:rsidR="00752CF3" w:rsidRPr="00752CF3" w:rsidRDefault="00752CF3" w:rsidP="00752CF3">
      <w:pPr>
        <w:spacing w:after="240"/>
        <w:rPr>
          <w:rFonts w:asciiTheme="minorBidi" w:eastAsia="Times New Roman" w:hAnsiTheme="minorBidi"/>
          <w:lang w:val="en-GB"/>
        </w:rPr>
      </w:pPr>
      <w:r w:rsidRPr="00752CF3">
        <w:rPr>
          <w:rFonts w:asciiTheme="minorBidi" w:eastAsia="Times New Roman" w:hAnsiTheme="minorBidi"/>
          <w:lang w:val="en-GB"/>
        </w:rPr>
        <w:t>An authorized entity does not need to be specified in national law, or anywhere else. The work of an entity in creating accessible formats in essence confers the recognition.</w:t>
      </w:r>
    </w:p>
    <w:p w14:paraId="67129EED" w14:textId="77777777" w:rsidR="00752CF3" w:rsidRPr="00752CF3" w:rsidRDefault="00752CF3" w:rsidP="00752CF3">
      <w:pPr>
        <w:rPr>
          <w:rFonts w:asciiTheme="minorBidi" w:hAnsiTheme="minorBidi"/>
          <w:lang w:val="en-GB"/>
        </w:rPr>
      </w:pPr>
      <w:r w:rsidRPr="00752CF3">
        <w:rPr>
          <w:rFonts w:asciiTheme="minorBidi" w:hAnsiTheme="minorBidi"/>
          <w:lang w:val="en-GB"/>
        </w:rPr>
        <w:t>The language of the Marrakesh Treaty on authorized entities is based on the Chafee Amendment in the US Copyright Act, 17 USC 121, which provides that “authorized entity” means a non-profit organization or a governmental agency that has a primary mission to provide specialized services relating to training, education, or adaptive reading or information access needs of blind or other persons with disabilities.</w:t>
      </w:r>
      <w:r w:rsidRPr="00752CF3">
        <w:rPr>
          <w:rFonts w:asciiTheme="minorBidi" w:hAnsiTheme="minorBidi"/>
          <w:lang w:val="en-GB"/>
        </w:rPr>
        <w:br/>
      </w:r>
      <w:r w:rsidRPr="00752CF3">
        <w:rPr>
          <w:rFonts w:asciiTheme="minorBidi" w:hAnsiTheme="minorBidi"/>
          <w:lang w:val="en-GB"/>
        </w:rPr>
        <w:br/>
        <w:t xml:space="preserve">This is a very broad definition. Like the Marrakesh Treaty, providing services to blind people doesn't need to be </w:t>
      </w:r>
      <w:r w:rsidRPr="00752CF3">
        <w:rPr>
          <w:rFonts w:asciiTheme="minorBidi" w:hAnsiTheme="minorBidi"/>
          <w:i/>
          <w:lang w:val="en-GB"/>
        </w:rPr>
        <w:t>the</w:t>
      </w:r>
      <w:r w:rsidRPr="00752CF3">
        <w:rPr>
          <w:rFonts w:asciiTheme="minorBidi" w:hAnsiTheme="minorBidi"/>
          <w:lang w:val="en-GB"/>
        </w:rPr>
        <w:t xml:space="preserve"> primary mission or activity of the organization, just </w:t>
      </w:r>
      <w:r w:rsidRPr="00752CF3">
        <w:rPr>
          <w:rFonts w:asciiTheme="minorBidi" w:hAnsiTheme="minorBidi"/>
          <w:i/>
          <w:lang w:val="en-GB"/>
        </w:rPr>
        <w:t>one</w:t>
      </w:r>
      <w:r w:rsidRPr="00752CF3">
        <w:rPr>
          <w:rFonts w:asciiTheme="minorBidi" w:hAnsiTheme="minorBidi"/>
          <w:lang w:val="en-GB"/>
        </w:rPr>
        <w:t xml:space="preserve"> of its primary activities or institutional obligations. Thus, a special library serving blind people would meet the definition, but so would a general public library or the disabilities services office of a school or university.</w:t>
      </w:r>
      <w:r w:rsidRPr="00752CF3">
        <w:rPr>
          <w:rFonts w:asciiTheme="minorBidi" w:hAnsiTheme="minorBidi"/>
          <w:lang w:val="en-GB"/>
        </w:rPr>
        <w:br/>
      </w:r>
      <w:r w:rsidRPr="00752CF3">
        <w:rPr>
          <w:rFonts w:asciiTheme="minorBidi" w:hAnsiTheme="minorBidi"/>
          <w:lang w:val="en-GB"/>
        </w:rPr>
        <w:br/>
        <w:t>It is also worth noting that one can comply with the treaty without relying on authorized entities at all - this is just an example of one way to do it. This flexibility means that if a country decides to rely on authorized entities, it has great latitude with the kinds of entities to use. In the US, for example, there is no list of authorized entities because any school or library that provides services to blind people qualifies.</w:t>
      </w:r>
    </w:p>
    <w:p w14:paraId="39DFC853" w14:textId="77777777" w:rsidR="00752CF3" w:rsidRPr="00752CF3" w:rsidRDefault="00752CF3" w:rsidP="00752CF3">
      <w:pPr>
        <w:rPr>
          <w:rFonts w:asciiTheme="minorBidi" w:eastAsia="Times New Roman" w:hAnsiTheme="minorBidi"/>
          <w:lang w:val="en-GB"/>
        </w:rPr>
      </w:pPr>
    </w:p>
    <w:p w14:paraId="5C893EE1" w14:textId="77777777" w:rsidR="00092B68" w:rsidRPr="00117119" w:rsidRDefault="00092B68" w:rsidP="00092B68">
      <w:pPr>
        <w:pStyle w:val="ListParagraph"/>
        <w:ind w:left="0"/>
        <w:jc w:val="right"/>
        <w:rPr>
          <w:rFonts w:asciiTheme="minorBidi" w:eastAsia="Times New Roman" w:hAnsiTheme="minorBidi"/>
          <w:b/>
          <w:bCs/>
          <w:color w:val="00B0F0"/>
          <w:lang w:val="en-GB"/>
        </w:rPr>
      </w:pPr>
      <w:hyperlink w:anchor="_top" w:history="1">
        <w:r w:rsidRPr="00117119">
          <w:rPr>
            <w:rStyle w:val="Hyperlink"/>
            <w:rFonts w:asciiTheme="minorBidi" w:eastAsia="Times New Roman" w:hAnsiTheme="minorBidi"/>
            <w:b/>
            <w:bCs/>
            <w:color w:val="00B0F0"/>
            <w:lang w:val="en-GB"/>
          </w:rPr>
          <w:t>Back to top</w:t>
        </w:r>
      </w:hyperlink>
    </w:p>
    <w:p w14:paraId="5914DC69" w14:textId="77777777" w:rsidR="00752CF3" w:rsidRPr="00752CF3" w:rsidRDefault="00752CF3" w:rsidP="00752CF3">
      <w:pPr>
        <w:rPr>
          <w:rFonts w:asciiTheme="minorBidi" w:eastAsia="Times New Roman" w:hAnsiTheme="minorBidi"/>
          <w:lang w:val="en-GB"/>
        </w:rPr>
      </w:pPr>
    </w:p>
    <w:p w14:paraId="10589432" w14:textId="77777777" w:rsidR="00752CF3" w:rsidRPr="00752CF3" w:rsidRDefault="00752CF3" w:rsidP="00752CF3">
      <w:pPr>
        <w:rPr>
          <w:rFonts w:asciiTheme="minorBidi" w:eastAsia="Times New Roman" w:hAnsiTheme="minorBidi"/>
          <w:lang w:val="en-GB"/>
        </w:rPr>
      </w:pPr>
    </w:p>
    <w:p w14:paraId="3139F2CB" w14:textId="77777777" w:rsidR="00752CF3" w:rsidRPr="00752CF3" w:rsidRDefault="00752CF3" w:rsidP="00752CF3">
      <w:pPr>
        <w:rPr>
          <w:rFonts w:asciiTheme="minorBidi" w:eastAsia="Times New Roman" w:hAnsiTheme="minorBidi"/>
          <w:lang w:val="en-GB"/>
        </w:rPr>
      </w:pPr>
    </w:p>
    <w:p w14:paraId="17242B2B" w14:textId="77777777" w:rsidR="00752CF3" w:rsidRPr="00752CF3" w:rsidRDefault="00752CF3" w:rsidP="00752CF3">
      <w:pPr>
        <w:rPr>
          <w:rFonts w:asciiTheme="minorBidi" w:eastAsia="Times New Roman" w:hAnsiTheme="minorBidi"/>
          <w:lang w:val="en-GB"/>
        </w:rPr>
      </w:pPr>
    </w:p>
    <w:p w14:paraId="6198C6CB" w14:textId="77777777" w:rsidR="00752CF3" w:rsidRPr="00752CF3" w:rsidRDefault="00752CF3" w:rsidP="00752CF3">
      <w:pPr>
        <w:rPr>
          <w:rFonts w:asciiTheme="minorBidi" w:eastAsia="Times New Roman" w:hAnsiTheme="minorBidi"/>
          <w:lang w:val="en-GB"/>
        </w:rPr>
      </w:pPr>
    </w:p>
    <w:p w14:paraId="3D0F4019" w14:textId="77777777" w:rsidR="00752CF3" w:rsidRPr="00752CF3" w:rsidRDefault="00752CF3" w:rsidP="00752CF3">
      <w:pPr>
        <w:rPr>
          <w:rFonts w:asciiTheme="minorBidi" w:eastAsia="Times New Roman" w:hAnsiTheme="minorBidi"/>
          <w:lang w:val="en-GB"/>
        </w:rPr>
      </w:pPr>
    </w:p>
    <w:p w14:paraId="0D1ADD92" w14:textId="77777777" w:rsidR="00752CF3" w:rsidRPr="00752CF3" w:rsidRDefault="00752CF3" w:rsidP="00752CF3">
      <w:pPr>
        <w:rPr>
          <w:rFonts w:asciiTheme="minorBidi" w:eastAsia="Times New Roman" w:hAnsiTheme="minorBidi"/>
          <w:lang w:val="en-GB"/>
        </w:rPr>
      </w:pPr>
    </w:p>
    <w:p w14:paraId="5AB2DF63" w14:textId="77777777" w:rsidR="00752CF3" w:rsidRPr="00752CF3" w:rsidRDefault="00752CF3" w:rsidP="00752CF3">
      <w:pPr>
        <w:rPr>
          <w:rFonts w:asciiTheme="minorBidi" w:eastAsia="Times New Roman" w:hAnsiTheme="minorBidi"/>
          <w:lang w:val="en-GB"/>
        </w:rPr>
      </w:pPr>
    </w:p>
    <w:p w14:paraId="1B30BF65" w14:textId="77777777" w:rsidR="00752CF3" w:rsidRPr="00752CF3" w:rsidRDefault="00752CF3" w:rsidP="00752CF3">
      <w:pPr>
        <w:rPr>
          <w:rFonts w:asciiTheme="minorBidi" w:eastAsia="Times New Roman" w:hAnsiTheme="minorBidi"/>
          <w:lang w:val="en-GB"/>
        </w:rPr>
      </w:pPr>
    </w:p>
    <w:p w14:paraId="382B44C8" w14:textId="77777777" w:rsidR="00752CF3" w:rsidRPr="00752CF3" w:rsidRDefault="00752CF3" w:rsidP="00752CF3">
      <w:pPr>
        <w:rPr>
          <w:rFonts w:asciiTheme="minorBidi" w:eastAsia="Times New Roman" w:hAnsiTheme="minorBidi"/>
          <w:lang w:val="en-GB"/>
        </w:rPr>
      </w:pPr>
    </w:p>
    <w:p w14:paraId="6EFA843F" w14:textId="77777777" w:rsidR="00752CF3" w:rsidRDefault="00752CF3" w:rsidP="00752CF3">
      <w:pPr>
        <w:rPr>
          <w:rFonts w:asciiTheme="minorBidi" w:eastAsia="Times New Roman" w:hAnsiTheme="minorBidi"/>
          <w:lang w:val="en-GB"/>
        </w:rPr>
      </w:pPr>
    </w:p>
    <w:p w14:paraId="0FDD0DD0" w14:textId="77777777" w:rsidR="00207929" w:rsidRDefault="00207929" w:rsidP="00752CF3">
      <w:pPr>
        <w:rPr>
          <w:rFonts w:asciiTheme="minorBidi" w:eastAsia="Times New Roman" w:hAnsiTheme="minorBidi"/>
          <w:lang w:val="en-GB"/>
        </w:rPr>
      </w:pPr>
    </w:p>
    <w:p w14:paraId="2E67A6A7" w14:textId="77777777" w:rsidR="00207929" w:rsidRPr="00752CF3" w:rsidRDefault="00207929" w:rsidP="00752CF3">
      <w:pPr>
        <w:rPr>
          <w:rFonts w:asciiTheme="minorBidi" w:eastAsia="Times New Roman" w:hAnsiTheme="minorBidi"/>
          <w:lang w:val="en-GB"/>
        </w:rPr>
      </w:pPr>
    </w:p>
    <w:p w14:paraId="555480DE" w14:textId="77777777" w:rsidR="00752CF3" w:rsidRPr="00752CF3" w:rsidRDefault="00752CF3" w:rsidP="00752CF3">
      <w:pPr>
        <w:pStyle w:val="EIFLHEAD1"/>
      </w:pPr>
      <w:bookmarkStart w:id="6" w:name="Recordkeeping"/>
      <w:r w:rsidRPr="00752CF3">
        <w:t>5. Record-keeping requirements – one standard</w:t>
      </w:r>
    </w:p>
    <w:bookmarkEnd w:id="6"/>
    <w:p w14:paraId="25E0AE00" w14:textId="77777777" w:rsidR="00752CF3" w:rsidRPr="00752CF3" w:rsidRDefault="00752CF3" w:rsidP="00752CF3">
      <w:pPr>
        <w:rPr>
          <w:rFonts w:asciiTheme="minorBidi" w:hAnsiTheme="minorBidi"/>
          <w:lang w:val="en-GB"/>
        </w:rPr>
      </w:pPr>
    </w:p>
    <w:p w14:paraId="377FF850"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Record-keeping requirements for authorized entities were carefully negotiated and agreed upon by WIPO member states over five years before the treaty was finally adopted in June 2013. </w:t>
      </w:r>
    </w:p>
    <w:p w14:paraId="4365E563" w14:textId="77777777" w:rsidR="00752CF3" w:rsidRPr="00752CF3" w:rsidRDefault="00752CF3" w:rsidP="00752CF3">
      <w:pPr>
        <w:rPr>
          <w:rFonts w:asciiTheme="minorBidi" w:hAnsiTheme="minorBidi"/>
          <w:lang w:val="en-GB"/>
        </w:rPr>
      </w:pPr>
    </w:p>
    <w:p w14:paraId="371DD604" w14:textId="77777777" w:rsidR="00752CF3" w:rsidRPr="00752CF3" w:rsidRDefault="00752CF3" w:rsidP="00752CF3">
      <w:pPr>
        <w:rPr>
          <w:rFonts w:asciiTheme="minorBidi" w:hAnsiTheme="minorBidi"/>
          <w:lang w:val="en-GB"/>
        </w:rPr>
      </w:pPr>
      <w:r w:rsidRPr="00752CF3">
        <w:rPr>
          <w:rFonts w:asciiTheme="minorBidi" w:hAnsiTheme="minorBidi"/>
          <w:lang w:val="en-GB"/>
        </w:rPr>
        <w:t>They are part of a text that balances the needs of the beneficiaries while providing assurances to rightsholders - assurances that every authorized entity, regardless of where in the world they are located, must comply with.</w:t>
      </w:r>
    </w:p>
    <w:p w14:paraId="0EA82322" w14:textId="77777777" w:rsidR="00752CF3" w:rsidRPr="00752CF3" w:rsidRDefault="00752CF3" w:rsidP="00752CF3">
      <w:pPr>
        <w:rPr>
          <w:rFonts w:asciiTheme="minorBidi" w:hAnsiTheme="minorBidi"/>
          <w:lang w:val="en-GB"/>
        </w:rPr>
      </w:pPr>
    </w:p>
    <w:p w14:paraId="6358945C" w14:textId="77777777" w:rsidR="00752CF3" w:rsidRPr="00752CF3" w:rsidRDefault="00752CF3" w:rsidP="00752CF3">
      <w:pPr>
        <w:rPr>
          <w:rFonts w:asciiTheme="minorBidi" w:hAnsiTheme="minorBidi"/>
          <w:lang w:val="en-GB"/>
        </w:rPr>
      </w:pPr>
      <w:r w:rsidRPr="00752CF3">
        <w:rPr>
          <w:rFonts w:asciiTheme="minorBidi" w:hAnsiTheme="minorBidi"/>
          <w:lang w:val="en-GB"/>
        </w:rPr>
        <w:t>Article 2(c) sets out that the authorized entity “establishes and follows its own practices”:</w:t>
      </w:r>
      <w:r w:rsidRPr="00752CF3">
        <w:rPr>
          <w:rFonts w:asciiTheme="minorBidi" w:hAnsiTheme="minorBidi"/>
          <w:lang w:val="en-GB"/>
        </w:rPr>
        <w:br/>
      </w:r>
    </w:p>
    <w:p w14:paraId="5840726D" w14:textId="77777777" w:rsidR="00752CF3" w:rsidRPr="00752CF3" w:rsidRDefault="00752CF3" w:rsidP="00752CF3">
      <w:pPr>
        <w:pStyle w:val="ListParagraph"/>
        <w:numPr>
          <w:ilvl w:val="0"/>
          <w:numId w:val="11"/>
        </w:numPr>
        <w:rPr>
          <w:rFonts w:asciiTheme="minorBidi" w:hAnsiTheme="minorBidi"/>
          <w:lang w:val="en-GB"/>
        </w:rPr>
      </w:pPr>
      <w:r w:rsidRPr="00752CF3">
        <w:rPr>
          <w:rFonts w:asciiTheme="minorBidi" w:hAnsiTheme="minorBidi"/>
          <w:lang w:val="en-GB"/>
        </w:rPr>
        <w:t>to ascertain that the recipients are bona fide beneficiary persons;</w:t>
      </w:r>
    </w:p>
    <w:p w14:paraId="3B7293BE" w14:textId="77777777" w:rsidR="00752CF3" w:rsidRPr="00752CF3" w:rsidRDefault="00752CF3" w:rsidP="00752CF3">
      <w:pPr>
        <w:pStyle w:val="ListParagraph"/>
        <w:numPr>
          <w:ilvl w:val="0"/>
          <w:numId w:val="11"/>
        </w:numPr>
        <w:rPr>
          <w:rFonts w:asciiTheme="minorBidi" w:hAnsiTheme="minorBidi"/>
          <w:lang w:val="en-GB"/>
        </w:rPr>
      </w:pPr>
      <w:r w:rsidRPr="00752CF3">
        <w:rPr>
          <w:rFonts w:asciiTheme="minorBidi" w:hAnsiTheme="minorBidi"/>
          <w:lang w:val="en-GB"/>
        </w:rPr>
        <w:t>to limit the distribution of accessible format copies to beneficiary persons or other authorized entities;</w:t>
      </w:r>
    </w:p>
    <w:p w14:paraId="359AB930" w14:textId="77777777" w:rsidR="00752CF3" w:rsidRPr="00752CF3" w:rsidRDefault="00752CF3" w:rsidP="00752CF3">
      <w:pPr>
        <w:pStyle w:val="ListParagraph"/>
        <w:numPr>
          <w:ilvl w:val="0"/>
          <w:numId w:val="11"/>
        </w:numPr>
        <w:rPr>
          <w:rFonts w:asciiTheme="minorBidi" w:hAnsiTheme="minorBidi"/>
          <w:lang w:val="en-GB"/>
        </w:rPr>
      </w:pPr>
      <w:r w:rsidRPr="00752CF3">
        <w:rPr>
          <w:rFonts w:asciiTheme="minorBidi" w:hAnsiTheme="minorBidi"/>
          <w:lang w:val="en-GB"/>
        </w:rPr>
        <w:t>to discourage the reproduction and distribution of unauthorized copies;</w:t>
      </w:r>
    </w:p>
    <w:p w14:paraId="0BBF4620" w14:textId="77777777" w:rsidR="00752CF3" w:rsidRPr="00752CF3" w:rsidRDefault="00752CF3" w:rsidP="00752CF3">
      <w:pPr>
        <w:pStyle w:val="ListParagraph"/>
        <w:numPr>
          <w:ilvl w:val="0"/>
          <w:numId w:val="11"/>
        </w:numPr>
        <w:rPr>
          <w:rFonts w:asciiTheme="minorBidi" w:hAnsiTheme="minorBidi"/>
          <w:lang w:val="en-GB"/>
        </w:rPr>
      </w:pPr>
      <w:r w:rsidRPr="00752CF3">
        <w:rPr>
          <w:rFonts w:asciiTheme="minorBidi" w:hAnsiTheme="minorBidi"/>
          <w:lang w:val="en-GB"/>
        </w:rPr>
        <w:t>and to maintain due care, and records of, the handling of accessible copies.</w:t>
      </w:r>
    </w:p>
    <w:p w14:paraId="43F1EB61" w14:textId="77777777" w:rsidR="00752CF3" w:rsidRPr="00752CF3" w:rsidRDefault="00752CF3" w:rsidP="00752CF3">
      <w:pPr>
        <w:rPr>
          <w:rFonts w:asciiTheme="minorBidi" w:hAnsiTheme="minorBidi"/>
          <w:lang w:val="en-GB"/>
        </w:rPr>
      </w:pPr>
    </w:p>
    <w:p w14:paraId="32DFB318" w14:textId="77777777" w:rsidR="00752CF3" w:rsidRPr="00752CF3" w:rsidRDefault="00752CF3" w:rsidP="00752CF3">
      <w:pPr>
        <w:rPr>
          <w:rFonts w:asciiTheme="minorBidi" w:hAnsiTheme="minorBidi"/>
          <w:lang w:val="en-GB"/>
        </w:rPr>
      </w:pPr>
      <w:r w:rsidRPr="00752CF3">
        <w:rPr>
          <w:rFonts w:asciiTheme="minorBidi" w:hAnsiTheme="minorBidi"/>
          <w:lang w:val="en-GB"/>
        </w:rPr>
        <w:t>To foster the development of a truly global network of authorized entities as envisaged by the treaty, there should be just one standard – the standard set out in the treaty. That is why it is important to adhere to the treaty’s own record-keeping requirements, and not to introduce new ones.</w:t>
      </w:r>
    </w:p>
    <w:p w14:paraId="4AE664CD" w14:textId="77777777" w:rsidR="00752CF3" w:rsidRPr="00752CF3" w:rsidRDefault="00752CF3" w:rsidP="00752CF3">
      <w:pPr>
        <w:rPr>
          <w:rFonts w:asciiTheme="minorBidi" w:hAnsiTheme="minorBidi"/>
          <w:lang w:val="en-GB"/>
        </w:rPr>
      </w:pPr>
    </w:p>
    <w:p w14:paraId="03B5F873" w14:textId="77777777" w:rsidR="00752CF3" w:rsidRPr="00752CF3" w:rsidRDefault="00752CF3" w:rsidP="00752CF3">
      <w:pPr>
        <w:rPr>
          <w:rFonts w:asciiTheme="minorBidi" w:hAnsiTheme="minorBidi"/>
          <w:lang w:val="en-GB"/>
        </w:rPr>
      </w:pPr>
      <w:r w:rsidRPr="00752CF3">
        <w:rPr>
          <w:rFonts w:asciiTheme="minorBidi" w:hAnsiTheme="minorBidi"/>
          <w:lang w:val="en-GB"/>
        </w:rPr>
        <w:t>Libraries throughout the world take their institutional responsibilities seriously. Librarians care about copyright and understand their professional obligations.</w:t>
      </w:r>
    </w:p>
    <w:p w14:paraId="7708FD6F" w14:textId="77777777" w:rsidR="00752CF3" w:rsidRPr="00752CF3" w:rsidRDefault="00752CF3" w:rsidP="00752CF3">
      <w:pPr>
        <w:rPr>
          <w:rFonts w:asciiTheme="minorBidi" w:hAnsiTheme="minorBidi"/>
          <w:lang w:val="en-GB"/>
        </w:rPr>
      </w:pPr>
    </w:p>
    <w:p w14:paraId="2EEF8B3A" w14:textId="77777777" w:rsidR="00752CF3" w:rsidRPr="00752CF3" w:rsidRDefault="00752CF3" w:rsidP="00752CF3">
      <w:pPr>
        <w:rPr>
          <w:rFonts w:asciiTheme="minorBidi" w:hAnsiTheme="minorBidi"/>
          <w:lang w:val="en-GB"/>
        </w:rPr>
      </w:pPr>
      <w:r w:rsidRPr="00752CF3">
        <w:rPr>
          <w:rFonts w:asciiTheme="minorBidi" w:hAnsiTheme="minorBidi"/>
          <w:lang w:val="en-GB"/>
        </w:rPr>
        <w:t>But if authorized entities find themselves having to deal with different administrative rules or to maintain multiple record-keeping systems depending on where the material is being sent, transaction costs will increase and staff time will be diverted. Many institutions will simply not have the resources to participate and will decide to opt out.</w:t>
      </w:r>
    </w:p>
    <w:p w14:paraId="36BD0C4F" w14:textId="77777777" w:rsidR="00752CF3" w:rsidRPr="00752CF3" w:rsidRDefault="00752CF3" w:rsidP="00752CF3">
      <w:pPr>
        <w:rPr>
          <w:rFonts w:asciiTheme="minorBidi" w:hAnsiTheme="minorBidi"/>
          <w:lang w:val="en-GB"/>
        </w:rPr>
      </w:pPr>
    </w:p>
    <w:p w14:paraId="0D8DFD2E" w14:textId="77777777" w:rsidR="00752CF3" w:rsidRDefault="00752CF3" w:rsidP="00752CF3">
      <w:pPr>
        <w:rPr>
          <w:rFonts w:asciiTheme="minorBidi" w:eastAsia="Times New Roman" w:hAnsiTheme="minorBidi"/>
          <w:lang w:val="en-GB"/>
        </w:rPr>
      </w:pPr>
      <w:r w:rsidRPr="00752CF3">
        <w:rPr>
          <w:rFonts w:asciiTheme="minorBidi" w:hAnsiTheme="minorBidi"/>
          <w:lang w:val="en-GB"/>
        </w:rPr>
        <w:t>Evidence is that ‘leakage’ of accessible materials from such authorized entities is extremely rare. At an event organized by WIPO’s Accessible Books Consortium (ABC) in November 2016</w:t>
      </w:r>
      <w:r w:rsidRPr="00752CF3">
        <w:rPr>
          <w:rStyle w:val="FootnoteReference"/>
          <w:rFonts w:asciiTheme="minorBidi" w:hAnsiTheme="minorBidi"/>
          <w:lang w:val="en-GB"/>
        </w:rPr>
        <w:footnoteReference w:id="4"/>
      </w:r>
      <w:r w:rsidRPr="00752CF3">
        <w:rPr>
          <w:rFonts w:asciiTheme="minorBidi" w:hAnsiTheme="minorBidi"/>
          <w:lang w:val="en-GB"/>
        </w:rPr>
        <w:t>, experts from Argentina, India and the US reported no notable instances of unauthorized uses in their many years providing library services to blind and visually impaired people. All the panellists appealed for international exchange mechanisms that are easy and un</w:t>
      </w:r>
      <w:r w:rsidRPr="00752CF3">
        <w:rPr>
          <w:rFonts w:asciiTheme="minorBidi" w:eastAsia="Times New Roman" w:hAnsiTheme="minorBidi"/>
          <w:lang w:val="en-GB"/>
        </w:rPr>
        <w:t>bureaucratic.</w:t>
      </w:r>
    </w:p>
    <w:p w14:paraId="7B115CF8" w14:textId="77777777" w:rsidR="00207929" w:rsidRDefault="00752CF3" w:rsidP="00207929">
      <w:pPr>
        <w:spacing w:before="100" w:beforeAutospacing="1" w:after="100" w:afterAutospacing="1"/>
        <w:rPr>
          <w:rFonts w:asciiTheme="minorBidi" w:eastAsia="Times New Roman" w:hAnsiTheme="minorBidi"/>
          <w:lang w:val="en-GB"/>
        </w:rPr>
      </w:pPr>
      <w:r w:rsidRPr="00752CF3">
        <w:rPr>
          <w:rFonts w:asciiTheme="minorBidi" w:eastAsia="Times New Roman" w:hAnsiTheme="minorBidi"/>
          <w:lang w:val="en-GB"/>
        </w:rPr>
        <w:t>Record-keeping should not become the Achilles heel that weakens the effect of the treaty.</w:t>
      </w:r>
    </w:p>
    <w:p w14:paraId="7AC2DEFE" w14:textId="77777777" w:rsidR="00207929" w:rsidRPr="00207929" w:rsidRDefault="00207929" w:rsidP="00207929">
      <w:pPr>
        <w:spacing w:before="100" w:beforeAutospacing="1" w:after="100" w:afterAutospacing="1"/>
        <w:jc w:val="right"/>
        <w:rPr>
          <w:rFonts w:asciiTheme="minorBidi" w:eastAsia="Times New Roman" w:hAnsiTheme="minorBidi"/>
          <w:lang w:val="en-GB"/>
        </w:rPr>
      </w:pPr>
      <w:hyperlink w:anchor="_top" w:history="1">
        <w:r w:rsidRPr="00207929">
          <w:rPr>
            <w:rStyle w:val="Hyperlink"/>
            <w:rFonts w:asciiTheme="minorBidi" w:eastAsia="Times New Roman" w:hAnsiTheme="minorBidi"/>
            <w:b/>
            <w:bCs/>
            <w:color w:val="00B0F0"/>
            <w:lang w:val="en-GB"/>
          </w:rPr>
          <w:t>Back to top</w:t>
        </w:r>
      </w:hyperlink>
    </w:p>
    <w:p w14:paraId="4FCB9AB8" w14:textId="77777777" w:rsidR="00752CF3" w:rsidRPr="00752CF3" w:rsidRDefault="00752CF3" w:rsidP="00752CF3">
      <w:pPr>
        <w:pStyle w:val="EIFLHEAD1"/>
      </w:pPr>
      <w:bookmarkStart w:id="7" w:name="Commercial"/>
      <w:r w:rsidRPr="00752CF3">
        <w:t>6. A commercial availability test and remuneration – not required</w:t>
      </w:r>
    </w:p>
    <w:bookmarkEnd w:id="7"/>
    <w:p w14:paraId="50FB54F1" w14:textId="77777777" w:rsidR="00752CF3" w:rsidRPr="00752CF3" w:rsidRDefault="00752CF3" w:rsidP="00752CF3">
      <w:pPr>
        <w:spacing w:line="360" w:lineRule="auto"/>
        <w:rPr>
          <w:rFonts w:asciiTheme="minorBidi" w:eastAsia="Times New Roman" w:hAnsiTheme="minorBidi"/>
          <w:lang w:val="en-GB"/>
        </w:rPr>
      </w:pPr>
    </w:p>
    <w:p w14:paraId="54F6820F"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Provisions for a commercial availability test and remuneration were optional provisions put into the Treaty for countries that already have them - they were not intended for countries to introduce them into their law. </w:t>
      </w:r>
    </w:p>
    <w:p w14:paraId="0FE8517E" w14:textId="77777777" w:rsidR="00752CF3" w:rsidRPr="00752CF3" w:rsidRDefault="00752CF3" w:rsidP="00752CF3">
      <w:pPr>
        <w:rPr>
          <w:rFonts w:asciiTheme="minorBidi" w:hAnsiTheme="minorBidi"/>
          <w:lang w:val="en-GB"/>
        </w:rPr>
      </w:pPr>
    </w:p>
    <w:p w14:paraId="5E8B12A8"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A </w:t>
      </w:r>
      <w:r w:rsidRPr="00752CF3">
        <w:rPr>
          <w:rFonts w:asciiTheme="minorBidi" w:hAnsiTheme="minorBidi"/>
          <w:u w:val="single"/>
          <w:lang w:val="en-GB"/>
        </w:rPr>
        <w:t>commercial availability test</w:t>
      </w:r>
      <w:r w:rsidRPr="00752CF3">
        <w:rPr>
          <w:rFonts w:asciiTheme="minorBidi" w:hAnsiTheme="minorBidi"/>
          <w:lang w:val="en-GB"/>
        </w:rPr>
        <w:t xml:space="preserve"> is a requirement to check if an accessible work is available on the market before being allowed to use the exception (Article 4(4)). </w:t>
      </w:r>
    </w:p>
    <w:p w14:paraId="1857A69A" w14:textId="77777777" w:rsidR="00752CF3" w:rsidRPr="00752CF3" w:rsidRDefault="00752CF3" w:rsidP="00752CF3">
      <w:pPr>
        <w:rPr>
          <w:rFonts w:asciiTheme="minorBidi" w:hAnsiTheme="minorBidi"/>
          <w:lang w:val="en-GB"/>
        </w:rPr>
      </w:pPr>
    </w:p>
    <w:p w14:paraId="759F272D" w14:textId="77777777" w:rsidR="00752CF3" w:rsidRPr="00752CF3" w:rsidRDefault="00752CF3" w:rsidP="00752CF3">
      <w:pPr>
        <w:rPr>
          <w:rFonts w:asciiTheme="minorBidi" w:hAnsiTheme="minorBidi"/>
          <w:lang w:val="en-GB"/>
        </w:rPr>
      </w:pPr>
      <w:r w:rsidRPr="00752CF3">
        <w:rPr>
          <w:rFonts w:asciiTheme="minorBidi" w:hAnsiTheme="minorBidi"/>
          <w:lang w:val="en-GB"/>
        </w:rPr>
        <w:t>From a library point of view, it would be difficult and in many cases impossible to ascertain with certainty if a work is available in a particular accessible format, especially in cross-border situations. Many libraries do not have the resources to undertake such checks on a case-by-case basis, and the library might decide to opt out of providing service because the legal risk is too high.</w:t>
      </w:r>
    </w:p>
    <w:p w14:paraId="75AEE341" w14:textId="77777777" w:rsidR="00752CF3" w:rsidRPr="00752CF3" w:rsidRDefault="00752CF3" w:rsidP="00752CF3">
      <w:pPr>
        <w:rPr>
          <w:rFonts w:asciiTheme="minorBidi" w:hAnsiTheme="minorBidi"/>
          <w:lang w:val="en-GB"/>
        </w:rPr>
      </w:pPr>
    </w:p>
    <w:p w14:paraId="515122D5"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A </w:t>
      </w:r>
      <w:r w:rsidRPr="00752CF3">
        <w:rPr>
          <w:rFonts w:asciiTheme="minorBidi" w:hAnsiTheme="minorBidi"/>
          <w:u w:val="single"/>
          <w:lang w:val="en-GB"/>
        </w:rPr>
        <w:t>remuneration scheme</w:t>
      </w:r>
      <w:r w:rsidRPr="00752CF3">
        <w:rPr>
          <w:rFonts w:asciiTheme="minorBidi" w:hAnsiTheme="minorBidi"/>
          <w:lang w:val="en-GB"/>
        </w:rPr>
        <w:t xml:space="preserve"> for use of the exception (Article 4(5)) would, in effect, be a double-payment for use of the work – a tax on the right to read. This is because the work has already been purchased or otherwise lawfully acquired, the accessible format copy is made for the sole purpose of providing equal access to the work, and the activity is undertaken on a non-profit basis.</w:t>
      </w:r>
    </w:p>
    <w:p w14:paraId="30B226B6" w14:textId="77777777" w:rsidR="00752CF3" w:rsidRPr="00752CF3" w:rsidRDefault="00752CF3" w:rsidP="00752CF3">
      <w:pPr>
        <w:rPr>
          <w:rFonts w:asciiTheme="minorBidi" w:hAnsiTheme="minorBidi"/>
          <w:lang w:val="en-GB"/>
        </w:rPr>
      </w:pPr>
    </w:p>
    <w:p w14:paraId="3D83EC15" w14:textId="77777777" w:rsidR="00752CF3" w:rsidRPr="00752CF3" w:rsidRDefault="00752CF3" w:rsidP="00752CF3">
      <w:pPr>
        <w:rPr>
          <w:rFonts w:asciiTheme="minorBidi" w:hAnsiTheme="minorBidi"/>
          <w:lang w:val="en-GB"/>
        </w:rPr>
      </w:pPr>
      <w:r w:rsidRPr="00752CF3">
        <w:rPr>
          <w:rFonts w:asciiTheme="minorBidi" w:hAnsiTheme="minorBidi"/>
          <w:lang w:val="en-GB"/>
        </w:rPr>
        <w:t xml:space="preserve">The introduction of a remuneration scheme would impose administrative and financial costs on libraries, charities and similar organizations, as well as individuals with print disabilities. </w:t>
      </w:r>
    </w:p>
    <w:p w14:paraId="0904C4EA" w14:textId="77777777" w:rsidR="00752CF3" w:rsidRPr="00752CF3" w:rsidRDefault="00752CF3" w:rsidP="00752CF3">
      <w:pPr>
        <w:rPr>
          <w:rFonts w:asciiTheme="minorBidi" w:hAnsiTheme="minorBidi"/>
          <w:lang w:val="en-GB"/>
        </w:rPr>
      </w:pPr>
    </w:p>
    <w:p w14:paraId="1702EBF9" w14:textId="77777777" w:rsidR="00752CF3" w:rsidRPr="00752CF3" w:rsidRDefault="00752CF3" w:rsidP="00752CF3">
      <w:pPr>
        <w:rPr>
          <w:rFonts w:asciiTheme="minorBidi" w:hAnsiTheme="minorBidi"/>
          <w:lang w:val="en-GB"/>
        </w:rPr>
      </w:pPr>
      <w:r w:rsidRPr="00752CF3">
        <w:rPr>
          <w:rFonts w:asciiTheme="minorBidi" w:hAnsiTheme="minorBidi"/>
          <w:lang w:val="en-GB"/>
        </w:rPr>
        <w:t>The introduction of new barriers runs contrary to the objective of the treaty to end the book famine.</w:t>
      </w:r>
    </w:p>
    <w:p w14:paraId="4E3C1282" w14:textId="77777777" w:rsidR="00092B68" w:rsidRPr="00117119" w:rsidRDefault="00092B68" w:rsidP="00092B68">
      <w:pPr>
        <w:pStyle w:val="ListParagraph"/>
        <w:ind w:left="0"/>
        <w:jc w:val="right"/>
        <w:rPr>
          <w:rFonts w:asciiTheme="minorBidi" w:eastAsia="Times New Roman" w:hAnsiTheme="minorBidi"/>
          <w:b/>
          <w:bCs/>
          <w:color w:val="00B0F0"/>
          <w:lang w:val="en-GB"/>
        </w:rPr>
      </w:pPr>
      <w:hyperlink w:anchor="_top" w:history="1">
        <w:r w:rsidRPr="00117119">
          <w:rPr>
            <w:rStyle w:val="Hyperlink"/>
            <w:rFonts w:asciiTheme="minorBidi" w:eastAsia="Times New Roman" w:hAnsiTheme="minorBidi"/>
            <w:b/>
            <w:bCs/>
            <w:color w:val="00B0F0"/>
            <w:lang w:val="en-GB"/>
          </w:rPr>
          <w:t>Back to top</w:t>
        </w:r>
      </w:hyperlink>
    </w:p>
    <w:p w14:paraId="66237450" w14:textId="77777777" w:rsidR="00752CF3" w:rsidRDefault="00752CF3" w:rsidP="00752CF3">
      <w:pPr>
        <w:rPr>
          <w:rFonts w:asciiTheme="minorBidi" w:hAnsiTheme="minorBidi"/>
          <w:lang w:val="en-GB"/>
        </w:rPr>
      </w:pPr>
    </w:p>
    <w:p w14:paraId="485A60B0" w14:textId="77777777" w:rsidR="00092B68" w:rsidRPr="00752CF3" w:rsidRDefault="00092B68" w:rsidP="00752CF3">
      <w:pPr>
        <w:rPr>
          <w:rFonts w:asciiTheme="minorBidi" w:hAnsiTheme="minorBidi"/>
          <w:lang w:val="en-GB"/>
        </w:rPr>
      </w:pPr>
    </w:p>
    <w:p w14:paraId="364E9163" w14:textId="53CA3A21" w:rsidR="00752CF3" w:rsidRPr="00092B68" w:rsidRDefault="00752CF3" w:rsidP="00092B68">
      <w:pPr>
        <w:rPr>
          <w:rFonts w:asciiTheme="minorBidi" w:hAnsiTheme="minorBidi"/>
          <w:lang w:val="en-GB"/>
        </w:rPr>
      </w:pPr>
      <w:r w:rsidRPr="00752CF3">
        <w:rPr>
          <w:rFonts w:asciiTheme="minorBidi" w:hAnsiTheme="minorBidi"/>
          <w:lang w:val="en-GB"/>
        </w:rPr>
        <w:t>For more information:</w:t>
      </w:r>
      <w:r w:rsidRPr="00752CF3">
        <w:rPr>
          <w:rFonts w:asciiTheme="minorBidi" w:hAnsiTheme="minorBidi"/>
          <w:lang w:val="en-GB"/>
        </w:rPr>
        <w:br/>
      </w:r>
      <w:r w:rsidRPr="00752CF3">
        <w:rPr>
          <w:rFonts w:asciiTheme="minorBidi" w:hAnsiTheme="minorBidi"/>
          <w:lang w:val="en-GB"/>
        </w:rPr>
        <w:br/>
      </w:r>
      <w:hyperlink r:id="rId8" w:history="1">
        <w:r w:rsidRPr="00752CF3">
          <w:rPr>
            <w:rStyle w:val="Hyperlink"/>
            <w:rFonts w:asciiTheme="minorBidi" w:hAnsiTheme="minorBidi"/>
            <w:lang w:val="en-GB"/>
          </w:rPr>
          <w:t>IFLA statement. Treaty of Marrakesh: (Mainly) Good Omens from Europe?</w:t>
        </w:r>
      </w:hyperlink>
      <w:r w:rsidRPr="00752CF3">
        <w:rPr>
          <w:rStyle w:val="Hyperlink"/>
          <w:rFonts w:asciiTheme="minorBidi" w:hAnsiTheme="minorBidi"/>
          <w:lang w:val="en-GB"/>
        </w:rPr>
        <w:br/>
      </w:r>
      <w:r w:rsidRPr="00752CF3">
        <w:rPr>
          <w:rFonts w:asciiTheme="minorBidi" w:hAnsiTheme="minorBidi"/>
          <w:lang w:val="en-GB"/>
        </w:rPr>
        <w:br/>
        <w:t xml:space="preserve">European Blind Union </w:t>
      </w:r>
      <w:r w:rsidRPr="00752CF3">
        <w:rPr>
          <w:rFonts w:asciiTheme="minorBidi" w:eastAsia="Times New Roman" w:hAnsiTheme="minorBidi"/>
          <w:lang w:val="en-GB"/>
        </w:rPr>
        <w:t xml:space="preserve">position paper on EC proposals to implement Marrakech Treaty in </w:t>
      </w:r>
      <w:hyperlink r:id="rId9" w:history="1">
        <w:r w:rsidRPr="00752CF3">
          <w:rPr>
            <w:rStyle w:val="Hyperlink"/>
            <w:rFonts w:asciiTheme="minorBidi" w:eastAsia="Times New Roman" w:hAnsiTheme="minorBidi"/>
            <w:lang w:val="en-GB"/>
          </w:rPr>
          <w:t>doc</w:t>
        </w:r>
      </w:hyperlink>
      <w:r w:rsidRPr="00752CF3">
        <w:rPr>
          <w:rFonts w:asciiTheme="minorBidi" w:eastAsia="Times New Roman" w:hAnsiTheme="minorBidi"/>
          <w:lang w:val="en-GB"/>
        </w:rPr>
        <w:t xml:space="preserve"> and </w:t>
      </w:r>
      <w:hyperlink r:id="rId10" w:history="1">
        <w:r w:rsidRPr="00752CF3">
          <w:rPr>
            <w:rStyle w:val="Hyperlink"/>
            <w:rFonts w:asciiTheme="minorBidi" w:eastAsia="Times New Roman" w:hAnsiTheme="minorBidi"/>
            <w:lang w:val="en-GB"/>
          </w:rPr>
          <w:t>pdf</w:t>
        </w:r>
      </w:hyperlink>
      <w:r w:rsidRPr="00752CF3">
        <w:rPr>
          <w:rFonts w:asciiTheme="minorBidi" w:eastAsia="Times New Roman" w:hAnsiTheme="minorBidi"/>
          <w:lang w:val="en-GB"/>
        </w:rPr>
        <w:t xml:space="preserve"> format (November 2016)</w:t>
      </w:r>
    </w:p>
    <w:p w14:paraId="71B77969" w14:textId="77777777" w:rsidR="00752CF3" w:rsidRPr="00752CF3" w:rsidRDefault="00752CF3" w:rsidP="00752CF3">
      <w:pPr>
        <w:pStyle w:val="EIFLTITLE"/>
        <w:jc w:val="right"/>
      </w:pPr>
      <w:r w:rsidRPr="00752CF3">
        <w:t>December 2016</w:t>
      </w:r>
    </w:p>
    <w:p w14:paraId="7284127E" w14:textId="77777777" w:rsidR="00092B68" w:rsidRDefault="00092B68" w:rsidP="00092B68">
      <w:pPr>
        <w:pStyle w:val="ListParagraph"/>
        <w:ind w:left="0"/>
        <w:jc w:val="right"/>
      </w:pPr>
    </w:p>
    <w:p w14:paraId="4C466449" w14:textId="77777777" w:rsidR="00092B68" w:rsidRDefault="00092B68" w:rsidP="00092B68">
      <w:pPr>
        <w:pStyle w:val="ListParagraph"/>
        <w:ind w:left="0"/>
        <w:jc w:val="right"/>
      </w:pPr>
    </w:p>
    <w:sectPr w:rsidR="00092B68" w:rsidSect="00207929">
      <w:headerReference w:type="default" r:id="rId11"/>
      <w:footerReference w:type="default" r:id="rId12"/>
      <w:pgSz w:w="11900" w:h="16840"/>
      <w:pgMar w:top="1440" w:right="1127" w:bottom="156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D4435" w14:textId="77777777" w:rsidR="0029103F" w:rsidRDefault="0029103F" w:rsidP="003D6D42">
      <w:r>
        <w:separator/>
      </w:r>
    </w:p>
    <w:p w14:paraId="119E5B48" w14:textId="77777777" w:rsidR="0029103F" w:rsidRDefault="0029103F"/>
  </w:endnote>
  <w:endnote w:type="continuationSeparator" w:id="0">
    <w:p w14:paraId="128956FC" w14:textId="77777777" w:rsidR="0029103F" w:rsidRDefault="0029103F" w:rsidP="003D6D42">
      <w:r>
        <w:continuationSeparator/>
      </w:r>
    </w:p>
    <w:p w14:paraId="39DAB626" w14:textId="77777777" w:rsidR="0029103F" w:rsidRDefault="002910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B73FB" w14:textId="0082088D" w:rsidR="00716153" w:rsidRDefault="00E61526" w:rsidP="00752CF3">
    <w:pPr>
      <w:pStyle w:val="Footer"/>
    </w:pPr>
    <w:r>
      <w:rPr>
        <w:rStyle w:val="PageNumber"/>
      </w:rPr>
      <w:fldChar w:fldCharType="begin"/>
    </w:r>
    <w:r>
      <w:rPr>
        <w:rStyle w:val="PageNumber"/>
      </w:rPr>
      <w:instrText xml:space="preserve"> PAGE </w:instrText>
    </w:r>
    <w:r>
      <w:rPr>
        <w:rStyle w:val="PageNumber"/>
      </w:rPr>
      <w:fldChar w:fldCharType="separate"/>
    </w:r>
    <w:r w:rsidR="0029103F">
      <w:rPr>
        <w:rStyle w:val="PageNumber"/>
        <w:noProof/>
      </w:rPr>
      <w:t>1</w:t>
    </w:r>
    <w:r>
      <w:rPr>
        <w:rStyle w:val="PageNumber"/>
      </w:rPr>
      <w:fldChar w:fldCharType="end"/>
    </w:r>
    <w:r w:rsidR="00752CF3">
      <w:rPr>
        <w:rStyle w:val="PageNumber"/>
      </w:rPr>
      <w:tab/>
    </w:r>
    <w:r w:rsidR="00752CF3">
      <w:rPr>
        <w:rStyle w:val="PageNumber"/>
      </w:rPr>
      <w:tab/>
    </w:r>
    <w:r w:rsidR="00752CF3" w:rsidRPr="00584B7D">
      <w:rPr>
        <w:rStyle w:val="PageNumber"/>
        <w:i/>
      </w:rPr>
      <w:t xml:space="preserve">EIFL </w:t>
    </w:r>
    <w:r w:rsidR="00752CF3">
      <w:rPr>
        <w:rStyle w:val="PageNumber"/>
        <w:i/>
      </w:rPr>
      <w:t>FAQs on</w:t>
    </w:r>
    <w:r w:rsidR="00752CF3" w:rsidRPr="00584B7D">
      <w:rPr>
        <w:rStyle w:val="PageNumber"/>
        <w:i/>
      </w:rPr>
      <w:t xml:space="preserve"> the Marrakesh Treaty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33344" w14:textId="77777777" w:rsidR="0029103F" w:rsidRDefault="0029103F" w:rsidP="003D6D42">
      <w:r>
        <w:separator/>
      </w:r>
    </w:p>
    <w:p w14:paraId="6BC2AFD0" w14:textId="77777777" w:rsidR="0029103F" w:rsidRDefault="0029103F"/>
  </w:footnote>
  <w:footnote w:type="continuationSeparator" w:id="0">
    <w:p w14:paraId="6BE36DC8" w14:textId="77777777" w:rsidR="0029103F" w:rsidRDefault="0029103F" w:rsidP="003D6D42">
      <w:r>
        <w:continuationSeparator/>
      </w:r>
    </w:p>
    <w:p w14:paraId="0EF786FF" w14:textId="77777777" w:rsidR="0029103F" w:rsidRDefault="0029103F"/>
  </w:footnote>
  <w:footnote w:id="1">
    <w:p w14:paraId="26B992A1" w14:textId="77777777" w:rsidR="00752CF3" w:rsidRDefault="00752CF3" w:rsidP="00752CF3">
      <w:pPr>
        <w:pStyle w:val="FootnoteText"/>
      </w:pPr>
      <w:r>
        <w:rPr>
          <w:rStyle w:val="FootnoteReference"/>
        </w:rPr>
        <w:footnoteRef/>
      </w:r>
      <w:r>
        <w:t xml:space="preserve"> </w:t>
      </w:r>
      <w:r w:rsidRPr="009E561A">
        <w:t>http://www.accessiblebooksconsortium.org/news/en/2016/news_0010.html</w:t>
      </w:r>
    </w:p>
  </w:footnote>
  <w:footnote w:id="2">
    <w:p w14:paraId="383AEA1A" w14:textId="77777777" w:rsidR="00752CF3" w:rsidRDefault="00752CF3" w:rsidP="00752CF3">
      <w:pPr>
        <w:pStyle w:val="FootnoteText"/>
      </w:pPr>
      <w:r>
        <w:rPr>
          <w:rStyle w:val="FootnoteReference"/>
        </w:rPr>
        <w:footnoteRef/>
      </w:r>
      <w:r>
        <w:t xml:space="preserve"> </w:t>
      </w:r>
      <w:r w:rsidRPr="00532017">
        <w:t>http://www.accessiblebooksconsortium.org/news/en/2016/news_0012.html</w:t>
      </w:r>
    </w:p>
  </w:footnote>
  <w:footnote w:id="3">
    <w:p w14:paraId="4733C974" w14:textId="77777777" w:rsidR="00752CF3" w:rsidRDefault="00752CF3" w:rsidP="00752CF3">
      <w:pPr>
        <w:pStyle w:val="FootnoteText"/>
      </w:pPr>
      <w:r>
        <w:rPr>
          <w:rStyle w:val="FootnoteReference"/>
        </w:rPr>
        <w:footnoteRef/>
      </w:r>
      <w:r>
        <w:t xml:space="preserve"> </w:t>
      </w:r>
      <w:r w:rsidRPr="00DA6ADE">
        <w:t>http://ec.europa.eu/newsroom/dae/document.cfm?doc_id=17221</w:t>
      </w:r>
    </w:p>
  </w:footnote>
  <w:footnote w:id="4">
    <w:p w14:paraId="28C43119" w14:textId="77777777" w:rsidR="00752CF3" w:rsidRDefault="00752CF3" w:rsidP="00752CF3">
      <w:pPr>
        <w:pStyle w:val="FootnoteText"/>
      </w:pPr>
      <w:r>
        <w:rPr>
          <w:rStyle w:val="FootnoteReference"/>
        </w:rPr>
        <w:footnoteRef/>
      </w:r>
      <w:r>
        <w:t xml:space="preserve"> </w:t>
      </w:r>
      <w:r w:rsidRPr="00074B6F">
        <w:t>http://www.ip-watch.org/2016/11/21/turning-promises-marrakesh-treaty-visually-impaired-reality/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699A0" w14:textId="6D860790" w:rsidR="00E61526" w:rsidRDefault="00E61526" w:rsidP="003339C0">
    <w:pPr>
      <w:pStyle w:val="Header"/>
      <w:jc w:val="center"/>
    </w:pPr>
    <w:r>
      <w:rPr>
        <w:noProof/>
        <w:lang w:val="en-GB" w:eastAsia="en-GB"/>
      </w:rPr>
      <w:drawing>
        <wp:inline distT="0" distB="0" distL="0" distR="0" wp14:anchorId="49DD1ACB" wp14:editId="77EB41B8">
          <wp:extent cx="1402262" cy="924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L_LOGO_BottomTag_Blue.jpg"/>
                  <pic:cNvPicPr/>
                </pic:nvPicPr>
                <pic:blipFill>
                  <a:blip r:embed="rId1">
                    <a:extLst>
                      <a:ext uri="{28A0092B-C50C-407E-A947-70E740481C1C}">
                        <a14:useLocalDpi xmlns:a14="http://schemas.microsoft.com/office/drawing/2010/main" val="0"/>
                      </a:ext>
                    </a:extLst>
                  </a:blip>
                  <a:stretch>
                    <a:fillRect/>
                  </a:stretch>
                </pic:blipFill>
                <pic:spPr>
                  <a:xfrm>
                    <a:off x="0" y="0"/>
                    <a:ext cx="1402262" cy="924560"/>
                  </a:xfrm>
                  <a:prstGeom prst="rect">
                    <a:avLst/>
                  </a:prstGeom>
                </pic:spPr>
              </pic:pic>
            </a:graphicData>
          </a:graphic>
        </wp:inline>
      </w:drawing>
    </w:r>
  </w:p>
  <w:p w14:paraId="7DDE3B7F" w14:textId="77777777" w:rsidR="00716153" w:rsidRDefault="007161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097"/>
    <w:multiLevelType w:val="hybridMultilevel"/>
    <w:tmpl w:val="05840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C723C"/>
    <w:multiLevelType w:val="hybridMultilevel"/>
    <w:tmpl w:val="5B72BF1E"/>
    <w:lvl w:ilvl="0" w:tplc="386E3524">
      <w:start w:val="1"/>
      <w:numFmt w:val="bullet"/>
      <w:lvlText w:val=""/>
      <w:lvlJc w:val="left"/>
      <w:pPr>
        <w:ind w:left="720" w:hanging="360"/>
      </w:pPr>
      <w:rPr>
        <w:rFonts w:ascii="Symbol" w:hAnsi="Symbol" w:hint="default"/>
        <w:color w:val="1D93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E2"/>
    <w:multiLevelType w:val="hybridMultilevel"/>
    <w:tmpl w:val="05840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909D4"/>
    <w:multiLevelType w:val="hybridMultilevel"/>
    <w:tmpl w:val="72280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167ED9"/>
    <w:multiLevelType w:val="multilevel"/>
    <w:tmpl w:val="DFA69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3CD57094"/>
    <w:multiLevelType w:val="hybridMultilevel"/>
    <w:tmpl w:val="63BC97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E3A005E"/>
    <w:multiLevelType w:val="hybridMultilevel"/>
    <w:tmpl w:val="6DEA304A"/>
    <w:lvl w:ilvl="0" w:tplc="386E3524">
      <w:start w:val="1"/>
      <w:numFmt w:val="bullet"/>
      <w:lvlText w:val=""/>
      <w:lvlJc w:val="left"/>
      <w:pPr>
        <w:ind w:left="720" w:hanging="360"/>
      </w:pPr>
      <w:rPr>
        <w:rFonts w:ascii="Symbol" w:hAnsi="Symbol" w:hint="default"/>
        <w:color w:val="1D93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885390"/>
    <w:multiLevelType w:val="hybridMultilevel"/>
    <w:tmpl w:val="DFA6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310D53"/>
    <w:multiLevelType w:val="hybridMultilevel"/>
    <w:tmpl w:val="CF06A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B3B54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7BF65C8A"/>
    <w:multiLevelType w:val="multilevel"/>
    <w:tmpl w:val="C27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5"/>
  </w:num>
  <w:num w:numId="5">
    <w:abstractNumId w:val="8"/>
  </w:num>
  <w:num w:numId="6">
    <w:abstractNumId w:val="10"/>
  </w:num>
  <w:num w:numId="7">
    <w:abstractNumId w:val="7"/>
  </w:num>
  <w:num w:numId="8">
    <w:abstractNumId w:val="9"/>
  </w:num>
  <w:num w:numId="9">
    <w:abstractNumId w:val="4"/>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31B"/>
    <w:rsid w:val="000029F0"/>
    <w:rsid w:val="000123D9"/>
    <w:rsid w:val="00020A05"/>
    <w:rsid w:val="00023C75"/>
    <w:rsid w:val="00026753"/>
    <w:rsid w:val="00026AE6"/>
    <w:rsid w:val="00036C53"/>
    <w:rsid w:val="00047D21"/>
    <w:rsid w:val="000574D5"/>
    <w:rsid w:val="00063AEB"/>
    <w:rsid w:val="0006521E"/>
    <w:rsid w:val="00065AF7"/>
    <w:rsid w:val="00066B3A"/>
    <w:rsid w:val="00074170"/>
    <w:rsid w:val="00074B6F"/>
    <w:rsid w:val="00075A4C"/>
    <w:rsid w:val="00087EF2"/>
    <w:rsid w:val="00092B68"/>
    <w:rsid w:val="00092FA1"/>
    <w:rsid w:val="00097656"/>
    <w:rsid w:val="000A2A72"/>
    <w:rsid w:val="000A7D0B"/>
    <w:rsid w:val="000B30A4"/>
    <w:rsid w:val="000B3146"/>
    <w:rsid w:val="000B45B5"/>
    <w:rsid w:val="000C27E0"/>
    <w:rsid w:val="000D4C2F"/>
    <w:rsid w:val="000D5EC9"/>
    <w:rsid w:val="000E1B97"/>
    <w:rsid w:val="000F531C"/>
    <w:rsid w:val="00100724"/>
    <w:rsid w:val="001030D6"/>
    <w:rsid w:val="001051FE"/>
    <w:rsid w:val="0010673D"/>
    <w:rsid w:val="00106865"/>
    <w:rsid w:val="001168A3"/>
    <w:rsid w:val="00117119"/>
    <w:rsid w:val="00121F3E"/>
    <w:rsid w:val="00127213"/>
    <w:rsid w:val="00127553"/>
    <w:rsid w:val="0012762D"/>
    <w:rsid w:val="00134724"/>
    <w:rsid w:val="00136E63"/>
    <w:rsid w:val="001445BF"/>
    <w:rsid w:val="00147126"/>
    <w:rsid w:val="001643BF"/>
    <w:rsid w:val="00171F4B"/>
    <w:rsid w:val="00173C21"/>
    <w:rsid w:val="001742C9"/>
    <w:rsid w:val="00177CED"/>
    <w:rsid w:val="0018553F"/>
    <w:rsid w:val="001855A6"/>
    <w:rsid w:val="00187C3A"/>
    <w:rsid w:val="00192B64"/>
    <w:rsid w:val="00192F82"/>
    <w:rsid w:val="00196ECD"/>
    <w:rsid w:val="001A2063"/>
    <w:rsid w:val="001A4001"/>
    <w:rsid w:val="001A422E"/>
    <w:rsid w:val="001A5C20"/>
    <w:rsid w:val="001B110E"/>
    <w:rsid w:val="001B2698"/>
    <w:rsid w:val="001B4070"/>
    <w:rsid w:val="001C093B"/>
    <w:rsid w:val="001C2782"/>
    <w:rsid w:val="001C3193"/>
    <w:rsid w:val="001C46B0"/>
    <w:rsid w:val="001C6D58"/>
    <w:rsid w:val="001C6E85"/>
    <w:rsid w:val="001D4017"/>
    <w:rsid w:val="001D7524"/>
    <w:rsid w:val="001E6E91"/>
    <w:rsid w:val="001F18D1"/>
    <w:rsid w:val="001F277D"/>
    <w:rsid w:val="001F7068"/>
    <w:rsid w:val="00200AE4"/>
    <w:rsid w:val="002026E2"/>
    <w:rsid w:val="002053F8"/>
    <w:rsid w:val="00207929"/>
    <w:rsid w:val="00211F47"/>
    <w:rsid w:val="00213946"/>
    <w:rsid w:val="00214C80"/>
    <w:rsid w:val="00214E7F"/>
    <w:rsid w:val="00235FAD"/>
    <w:rsid w:val="00236382"/>
    <w:rsid w:val="00237A6C"/>
    <w:rsid w:val="002455B3"/>
    <w:rsid w:val="00264EF9"/>
    <w:rsid w:val="00265CFA"/>
    <w:rsid w:val="00267C7E"/>
    <w:rsid w:val="00272145"/>
    <w:rsid w:val="002741F5"/>
    <w:rsid w:val="0027498B"/>
    <w:rsid w:val="00286E80"/>
    <w:rsid w:val="0029103F"/>
    <w:rsid w:val="002938AF"/>
    <w:rsid w:val="00295B5D"/>
    <w:rsid w:val="00295F35"/>
    <w:rsid w:val="002A4790"/>
    <w:rsid w:val="002B347A"/>
    <w:rsid w:val="002B5825"/>
    <w:rsid w:val="002B6D1A"/>
    <w:rsid w:val="002C2003"/>
    <w:rsid w:val="002C235E"/>
    <w:rsid w:val="002C3F53"/>
    <w:rsid w:val="002C57DB"/>
    <w:rsid w:val="002D4C81"/>
    <w:rsid w:val="002E1F76"/>
    <w:rsid w:val="002E3A68"/>
    <w:rsid w:val="002E4802"/>
    <w:rsid w:val="002E7EDB"/>
    <w:rsid w:val="002F1CD2"/>
    <w:rsid w:val="002F3D15"/>
    <w:rsid w:val="00313425"/>
    <w:rsid w:val="0031489E"/>
    <w:rsid w:val="00316D3D"/>
    <w:rsid w:val="00332D0D"/>
    <w:rsid w:val="003339C0"/>
    <w:rsid w:val="00335FC6"/>
    <w:rsid w:val="003363F6"/>
    <w:rsid w:val="003441CD"/>
    <w:rsid w:val="00347494"/>
    <w:rsid w:val="00350899"/>
    <w:rsid w:val="0035157B"/>
    <w:rsid w:val="00355188"/>
    <w:rsid w:val="00357CBB"/>
    <w:rsid w:val="00363A96"/>
    <w:rsid w:val="003646A1"/>
    <w:rsid w:val="00376A31"/>
    <w:rsid w:val="00380D44"/>
    <w:rsid w:val="00382283"/>
    <w:rsid w:val="00383B69"/>
    <w:rsid w:val="00385958"/>
    <w:rsid w:val="003C7C67"/>
    <w:rsid w:val="003D23C4"/>
    <w:rsid w:val="003D6D42"/>
    <w:rsid w:val="003E23E3"/>
    <w:rsid w:val="003E30C9"/>
    <w:rsid w:val="003E795E"/>
    <w:rsid w:val="003F02A7"/>
    <w:rsid w:val="003F5CDA"/>
    <w:rsid w:val="00401FD9"/>
    <w:rsid w:val="004048A2"/>
    <w:rsid w:val="00407BE5"/>
    <w:rsid w:val="00423C3D"/>
    <w:rsid w:val="00427AC9"/>
    <w:rsid w:val="004310BB"/>
    <w:rsid w:val="00444357"/>
    <w:rsid w:val="0045510F"/>
    <w:rsid w:val="00462CF2"/>
    <w:rsid w:val="00462E50"/>
    <w:rsid w:val="0046431B"/>
    <w:rsid w:val="00467B42"/>
    <w:rsid w:val="004708B6"/>
    <w:rsid w:val="00472CA1"/>
    <w:rsid w:val="00481C8C"/>
    <w:rsid w:val="00484207"/>
    <w:rsid w:val="004955F9"/>
    <w:rsid w:val="004A0E75"/>
    <w:rsid w:val="004B1C31"/>
    <w:rsid w:val="004B4F80"/>
    <w:rsid w:val="004B716F"/>
    <w:rsid w:val="004C44CF"/>
    <w:rsid w:val="004C620B"/>
    <w:rsid w:val="004D17D4"/>
    <w:rsid w:val="004D18D2"/>
    <w:rsid w:val="004D5F3D"/>
    <w:rsid w:val="004E10F0"/>
    <w:rsid w:val="004E2913"/>
    <w:rsid w:val="004E40FE"/>
    <w:rsid w:val="004E7E79"/>
    <w:rsid w:val="0050294C"/>
    <w:rsid w:val="00524E04"/>
    <w:rsid w:val="00525C3C"/>
    <w:rsid w:val="005406E6"/>
    <w:rsid w:val="005430A0"/>
    <w:rsid w:val="005438B9"/>
    <w:rsid w:val="0054624E"/>
    <w:rsid w:val="005550FD"/>
    <w:rsid w:val="00560877"/>
    <w:rsid w:val="005617C4"/>
    <w:rsid w:val="00574056"/>
    <w:rsid w:val="00583DA7"/>
    <w:rsid w:val="00583DB8"/>
    <w:rsid w:val="00584B7D"/>
    <w:rsid w:val="00586B26"/>
    <w:rsid w:val="0058727E"/>
    <w:rsid w:val="0058780A"/>
    <w:rsid w:val="00590C55"/>
    <w:rsid w:val="00597320"/>
    <w:rsid w:val="005A240C"/>
    <w:rsid w:val="005A41F1"/>
    <w:rsid w:val="005B04EB"/>
    <w:rsid w:val="005B103B"/>
    <w:rsid w:val="005B419B"/>
    <w:rsid w:val="005B6765"/>
    <w:rsid w:val="005B6993"/>
    <w:rsid w:val="005C0AE9"/>
    <w:rsid w:val="005C2C12"/>
    <w:rsid w:val="005C6A80"/>
    <w:rsid w:val="005D0BDD"/>
    <w:rsid w:val="005E1E96"/>
    <w:rsid w:val="005E216D"/>
    <w:rsid w:val="005F140E"/>
    <w:rsid w:val="005F24CC"/>
    <w:rsid w:val="00601197"/>
    <w:rsid w:val="006022EF"/>
    <w:rsid w:val="006065A4"/>
    <w:rsid w:val="00611F5F"/>
    <w:rsid w:val="00612488"/>
    <w:rsid w:val="00616ED1"/>
    <w:rsid w:val="006236DF"/>
    <w:rsid w:val="00626120"/>
    <w:rsid w:val="00627F9F"/>
    <w:rsid w:val="006306AD"/>
    <w:rsid w:val="006516C5"/>
    <w:rsid w:val="00656D04"/>
    <w:rsid w:val="00667C7B"/>
    <w:rsid w:val="006803CA"/>
    <w:rsid w:val="00691CF3"/>
    <w:rsid w:val="006933A2"/>
    <w:rsid w:val="00696E48"/>
    <w:rsid w:val="006A2B13"/>
    <w:rsid w:val="006A5882"/>
    <w:rsid w:val="006B185C"/>
    <w:rsid w:val="006D0255"/>
    <w:rsid w:val="006D3D38"/>
    <w:rsid w:val="006D3F70"/>
    <w:rsid w:val="006D7342"/>
    <w:rsid w:val="006E7E67"/>
    <w:rsid w:val="006F057B"/>
    <w:rsid w:val="006F3430"/>
    <w:rsid w:val="006F6ACD"/>
    <w:rsid w:val="00700C93"/>
    <w:rsid w:val="00703C4C"/>
    <w:rsid w:val="00716153"/>
    <w:rsid w:val="00716D52"/>
    <w:rsid w:val="00730A2E"/>
    <w:rsid w:val="0073583F"/>
    <w:rsid w:val="00741F48"/>
    <w:rsid w:val="00742F98"/>
    <w:rsid w:val="007454E8"/>
    <w:rsid w:val="007469F8"/>
    <w:rsid w:val="00752CF3"/>
    <w:rsid w:val="00757F6C"/>
    <w:rsid w:val="00761A68"/>
    <w:rsid w:val="00761EFE"/>
    <w:rsid w:val="00763E4D"/>
    <w:rsid w:val="007873E4"/>
    <w:rsid w:val="00795194"/>
    <w:rsid w:val="00796146"/>
    <w:rsid w:val="007963CC"/>
    <w:rsid w:val="007C0463"/>
    <w:rsid w:val="007C2660"/>
    <w:rsid w:val="007C29EF"/>
    <w:rsid w:val="007C53E6"/>
    <w:rsid w:val="007C68CC"/>
    <w:rsid w:val="007D20E1"/>
    <w:rsid w:val="007E0D08"/>
    <w:rsid w:val="007E5136"/>
    <w:rsid w:val="007E5DBE"/>
    <w:rsid w:val="007F56B6"/>
    <w:rsid w:val="00806FC6"/>
    <w:rsid w:val="00814B9E"/>
    <w:rsid w:val="00814C4C"/>
    <w:rsid w:val="008175E1"/>
    <w:rsid w:val="00817AC1"/>
    <w:rsid w:val="0082742B"/>
    <w:rsid w:val="008278CA"/>
    <w:rsid w:val="008367E8"/>
    <w:rsid w:val="00837E6F"/>
    <w:rsid w:val="00840F1F"/>
    <w:rsid w:val="00851DF6"/>
    <w:rsid w:val="00860849"/>
    <w:rsid w:val="00860B3A"/>
    <w:rsid w:val="00866F7A"/>
    <w:rsid w:val="0087059C"/>
    <w:rsid w:val="0087358C"/>
    <w:rsid w:val="008758FB"/>
    <w:rsid w:val="00897ADD"/>
    <w:rsid w:val="008A0BCA"/>
    <w:rsid w:val="008A2292"/>
    <w:rsid w:val="008A2B38"/>
    <w:rsid w:val="008A605F"/>
    <w:rsid w:val="008B0083"/>
    <w:rsid w:val="008B2141"/>
    <w:rsid w:val="008B3BCE"/>
    <w:rsid w:val="008B41C0"/>
    <w:rsid w:val="008B4E16"/>
    <w:rsid w:val="008B7093"/>
    <w:rsid w:val="008C2DE3"/>
    <w:rsid w:val="008E1087"/>
    <w:rsid w:val="008E3CEE"/>
    <w:rsid w:val="008E6893"/>
    <w:rsid w:val="008F156F"/>
    <w:rsid w:val="009034F8"/>
    <w:rsid w:val="00910C18"/>
    <w:rsid w:val="00913A9A"/>
    <w:rsid w:val="00922AF2"/>
    <w:rsid w:val="00924E2E"/>
    <w:rsid w:val="0093135B"/>
    <w:rsid w:val="009315B6"/>
    <w:rsid w:val="00936291"/>
    <w:rsid w:val="00947132"/>
    <w:rsid w:val="00947842"/>
    <w:rsid w:val="00953593"/>
    <w:rsid w:val="0095779B"/>
    <w:rsid w:val="00965A1D"/>
    <w:rsid w:val="00965E13"/>
    <w:rsid w:val="00967807"/>
    <w:rsid w:val="009702AB"/>
    <w:rsid w:val="00971E20"/>
    <w:rsid w:val="00973074"/>
    <w:rsid w:val="009773D2"/>
    <w:rsid w:val="00995DE3"/>
    <w:rsid w:val="009A1E75"/>
    <w:rsid w:val="009A5615"/>
    <w:rsid w:val="009A5A31"/>
    <w:rsid w:val="009A7D38"/>
    <w:rsid w:val="009B2A8F"/>
    <w:rsid w:val="009C2BAF"/>
    <w:rsid w:val="009C6E51"/>
    <w:rsid w:val="009D2D17"/>
    <w:rsid w:val="009D40F2"/>
    <w:rsid w:val="009D6E89"/>
    <w:rsid w:val="009E561A"/>
    <w:rsid w:val="009E6238"/>
    <w:rsid w:val="009F209D"/>
    <w:rsid w:val="009F3EFA"/>
    <w:rsid w:val="009F5BE5"/>
    <w:rsid w:val="009F6786"/>
    <w:rsid w:val="00A0536E"/>
    <w:rsid w:val="00A138EF"/>
    <w:rsid w:val="00A153A3"/>
    <w:rsid w:val="00A154E1"/>
    <w:rsid w:val="00A2298F"/>
    <w:rsid w:val="00A23ADA"/>
    <w:rsid w:val="00A26987"/>
    <w:rsid w:val="00A313CD"/>
    <w:rsid w:val="00A33F85"/>
    <w:rsid w:val="00A430E5"/>
    <w:rsid w:val="00A43936"/>
    <w:rsid w:val="00A5727C"/>
    <w:rsid w:val="00A622EC"/>
    <w:rsid w:val="00A64452"/>
    <w:rsid w:val="00A648C6"/>
    <w:rsid w:val="00A67A5B"/>
    <w:rsid w:val="00A67FFA"/>
    <w:rsid w:val="00A7115D"/>
    <w:rsid w:val="00A713F6"/>
    <w:rsid w:val="00A85CA0"/>
    <w:rsid w:val="00A90921"/>
    <w:rsid w:val="00A95978"/>
    <w:rsid w:val="00AA249E"/>
    <w:rsid w:val="00AA4208"/>
    <w:rsid w:val="00AA56B0"/>
    <w:rsid w:val="00AB13A1"/>
    <w:rsid w:val="00AB2AC4"/>
    <w:rsid w:val="00AB31FE"/>
    <w:rsid w:val="00AB3A85"/>
    <w:rsid w:val="00AC337F"/>
    <w:rsid w:val="00AC6E47"/>
    <w:rsid w:val="00AD24D0"/>
    <w:rsid w:val="00AE1E74"/>
    <w:rsid w:val="00AE6311"/>
    <w:rsid w:val="00AF7767"/>
    <w:rsid w:val="00B0382A"/>
    <w:rsid w:val="00B20087"/>
    <w:rsid w:val="00B20308"/>
    <w:rsid w:val="00B22CC2"/>
    <w:rsid w:val="00B24E9B"/>
    <w:rsid w:val="00B27D39"/>
    <w:rsid w:val="00B33BF0"/>
    <w:rsid w:val="00B34B76"/>
    <w:rsid w:val="00B4091A"/>
    <w:rsid w:val="00B422D5"/>
    <w:rsid w:val="00B47024"/>
    <w:rsid w:val="00B50FFC"/>
    <w:rsid w:val="00B5239C"/>
    <w:rsid w:val="00B5299D"/>
    <w:rsid w:val="00B6219A"/>
    <w:rsid w:val="00B64A7D"/>
    <w:rsid w:val="00B6509D"/>
    <w:rsid w:val="00B70329"/>
    <w:rsid w:val="00B71237"/>
    <w:rsid w:val="00B7565B"/>
    <w:rsid w:val="00B866DD"/>
    <w:rsid w:val="00B86BFE"/>
    <w:rsid w:val="00B90A57"/>
    <w:rsid w:val="00B913F7"/>
    <w:rsid w:val="00B942E2"/>
    <w:rsid w:val="00BA240F"/>
    <w:rsid w:val="00BA2AE2"/>
    <w:rsid w:val="00BA3566"/>
    <w:rsid w:val="00BB3707"/>
    <w:rsid w:val="00BC1EBC"/>
    <w:rsid w:val="00BD7DD9"/>
    <w:rsid w:val="00BE3B27"/>
    <w:rsid w:val="00BE5091"/>
    <w:rsid w:val="00C055A0"/>
    <w:rsid w:val="00C17865"/>
    <w:rsid w:val="00C216A0"/>
    <w:rsid w:val="00C25378"/>
    <w:rsid w:val="00C30056"/>
    <w:rsid w:val="00C41C7D"/>
    <w:rsid w:val="00C4517E"/>
    <w:rsid w:val="00C55282"/>
    <w:rsid w:val="00C63167"/>
    <w:rsid w:val="00C6676D"/>
    <w:rsid w:val="00C73261"/>
    <w:rsid w:val="00C73CEE"/>
    <w:rsid w:val="00C748BB"/>
    <w:rsid w:val="00C77258"/>
    <w:rsid w:val="00C77A79"/>
    <w:rsid w:val="00C939B2"/>
    <w:rsid w:val="00CA2EF7"/>
    <w:rsid w:val="00CA3341"/>
    <w:rsid w:val="00CC0D28"/>
    <w:rsid w:val="00CC0E8D"/>
    <w:rsid w:val="00CC1C6B"/>
    <w:rsid w:val="00CC260F"/>
    <w:rsid w:val="00CC38BB"/>
    <w:rsid w:val="00CC4694"/>
    <w:rsid w:val="00CD4018"/>
    <w:rsid w:val="00CE0D47"/>
    <w:rsid w:val="00CF0B1C"/>
    <w:rsid w:val="00CF5EC5"/>
    <w:rsid w:val="00D134FF"/>
    <w:rsid w:val="00D15213"/>
    <w:rsid w:val="00D17576"/>
    <w:rsid w:val="00D20DC0"/>
    <w:rsid w:val="00D21A74"/>
    <w:rsid w:val="00D2336F"/>
    <w:rsid w:val="00D27CA3"/>
    <w:rsid w:val="00D27CCE"/>
    <w:rsid w:val="00D30F2E"/>
    <w:rsid w:val="00D31867"/>
    <w:rsid w:val="00D343CA"/>
    <w:rsid w:val="00D36E97"/>
    <w:rsid w:val="00D37461"/>
    <w:rsid w:val="00D424FD"/>
    <w:rsid w:val="00D4391C"/>
    <w:rsid w:val="00D45B99"/>
    <w:rsid w:val="00D46E1D"/>
    <w:rsid w:val="00D50660"/>
    <w:rsid w:val="00D555F8"/>
    <w:rsid w:val="00D63E21"/>
    <w:rsid w:val="00D64648"/>
    <w:rsid w:val="00D66798"/>
    <w:rsid w:val="00D725A3"/>
    <w:rsid w:val="00D73D85"/>
    <w:rsid w:val="00D74CF7"/>
    <w:rsid w:val="00D750F4"/>
    <w:rsid w:val="00D90843"/>
    <w:rsid w:val="00D926A2"/>
    <w:rsid w:val="00D93088"/>
    <w:rsid w:val="00D95DB7"/>
    <w:rsid w:val="00DA239C"/>
    <w:rsid w:val="00DB4BE4"/>
    <w:rsid w:val="00DB4C99"/>
    <w:rsid w:val="00DB7ADF"/>
    <w:rsid w:val="00DC0286"/>
    <w:rsid w:val="00DD68CB"/>
    <w:rsid w:val="00E036B4"/>
    <w:rsid w:val="00E05E68"/>
    <w:rsid w:val="00E13248"/>
    <w:rsid w:val="00E13513"/>
    <w:rsid w:val="00E204B2"/>
    <w:rsid w:val="00E206EA"/>
    <w:rsid w:val="00E229A0"/>
    <w:rsid w:val="00E24293"/>
    <w:rsid w:val="00E27206"/>
    <w:rsid w:val="00E3060D"/>
    <w:rsid w:val="00E30A9B"/>
    <w:rsid w:val="00E34DC8"/>
    <w:rsid w:val="00E509F3"/>
    <w:rsid w:val="00E53D1F"/>
    <w:rsid w:val="00E54347"/>
    <w:rsid w:val="00E61526"/>
    <w:rsid w:val="00E661BD"/>
    <w:rsid w:val="00E67ACB"/>
    <w:rsid w:val="00E707B8"/>
    <w:rsid w:val="00E82AD3"/>
    <w:rsid w:val="00E8540E"/>
    <w:rsid w:val="00E90A2D"/>
    <w:rsid w:val="00E920AC"/>
    <w:rsid w:val="00EA101F"/>
    <w:rsid w:val="00EA4163"/>
    <w:rsid w:val="00EA4D02"/>
    <w:rsid w:val="00EA53A4"/>
    <w:rsid w:val="00EA59DF"/>
    <w:rsid w:val="00EA5F3E"/>
    <w:rsid w:val="00EB4B96"/>
    <w:rsid w:val="00EC3527"/>
    <w:rsid w:val="00EC6F76"/>
    <w:rsid w:val="00ED108A"/>
    <w:rsid w:val="00ED1BA0"/>
    <w:rsid w:val="00ED32AC"/>
    <w:rsid w:val="00ED41E2"/>
    <w:rsid w:val="00ED5831"/>
    <w:rsid w:val="00EE1367"/>
    <w:rsid w:val="00EF7C91"/>
    <w:rsid w:val="00F003FB"/>
    <w:rsid w:val="00F011F9"/>
    <w:rsid w:val="00F03F8A"/>
    <w:rsid w:val="00F045F7"/>
    <w:rsid w:val="00F06663"/>
    <w:rsid w:val="00F10632"/>
    <w:rsid w:val="00F121E3"/>
    <w:rsid w:val="00F13551"/>
    <w:rsid w:val="00F22961"/>
    <w:rsid w:val="00F30AAF"/>
    <w:rsid w:val="00F36431"/>
    <w:rsid w:val="00F501EE"/>
    <w:rsid w:val="00F536E1"/>
    <w:rsid w:val="00F55E95"/>
    <w:rsid w:val="00F63748"/>
    <w:rsid w:val="00F63CE1"/>
    <w:rsid w:val="00F730F4"/>
    <w:rsid w:val="00F73EA8"/>
    <w:rsid w:val="00F742C8"/>
    <w:rsid w:val="00F7553D"/>
    <w:rsid w:val="00F8499C"/>
    <w:rsid w:val="00FA389A"/>
    <w:rsid w:val="00FA50EF"/>
    <w:rsid w:val="00FB68D0"/>
    <w:rsid w:val="00FE5201"/>
    <w:rsid w:val="00FE7B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CB9838"/>
  <w14:defaultImageDpi w14:val="300"/>
  <w15:docId w15:val="{222632C7-9693-4DC7-BA89-B9F675E3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85C"/>
  </w:style>
  <w:style w:type="paragraph" w:styleId="Heading1">
    <w:name w:val="heading 1"/>
    <w:basedOn w:val="Normal"/>
    <w:next w:val="Normal"/>
    <w:link w:val="Heading1Char"/>
    <w:uiPriority w:val="9"/>
    <w:qFormat/>
    <w:rsid w:val="0082742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7469F8"/>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semiHidden/>
    <w:unhideWhenUsed/>
    <w:qFormat/>
    <w:rsid w:val="00192F8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85C"/>
    <w:rPr>
      <w:color w:val="0000FF"/>
      <w:u w:val="single"/>
    </w:rPr>
  </w:style>
  <w:style w:type="paragraph" w:styleId="HTMLPreformatted">
    <w:name w:val="HTML Preformatted"/>
    <w:basedOn w:val="Normal"/>
    <w:link w:val="HTMLPreformattedChar"/>
    <w:uiPriority w:val="99"/>
    <w:semiHidden/>
    <w:unhideWhenUsed/>
    <w:rsid w:val="006B18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6B185C"/>
    <w:rPr>
      <w:rFonts w:ascii="Courier" w:hAnsi="Courier" w:cs="Courier"/>
      <w:sz w:val="20"/>
      <w:szCs w:val="20"/>
    </w:rPr>
  </w:style>
  <w:style w:type="paragraph" w:styleId="NormalWeb">
    <w:name w:val="Normal (Web)"/>
    <w:basedOn w:val="Normal"/>
    <w:uiPriority w:val="99"/>
    <w:unhideWhenUsed/>
    <w:rsid w:val="003D6D42"/>
    <w:pPr>
      <w:spacing w:before="100" w:beforeAutospacing="1" w:after="100" w:afterAutospacing="1"/>
    </w:pPr>
    <w:rPr>
      <w:rFonts w:ascii="Times" w:hAnsi="Times" w:cs="Times New Roman"/>
      <w:sz w:val="20"/>
      <w:szCs w:val="20"/>
    </w:rPr>
  </w:style>
  <w:style w:type="paragraph" w:styleId="FootnoteText">
    <w:name w:val="footnote text"/>
    <w:aliases w:val="Note de bas de page Car Car,Char,Car"/>
    <w:basedOn w:val="Normal"/>
    <w:link w:val="FootnoteTextChar"/>
    <w:uiPriority w:val="99"/>
    <w:unhideWhenUsed/>
    <w:qFormat/>
    <w:rsid w:val="003D6D42"/>
  </w:style>
  <w:style w:type="character" w:customStyle="1" w:styleId="FootnoteTextChar">
    <w:name w:val="Footnote Text Char"/>
    <w:aliases w:val="Note de bas de page Car Car Char,Char Char,Car Char"/>
    <w:basedOn w:val="DefaultParagraphFont"/>
    <w:link w:val="FootnoteText"/>
    <w:uiPriority w:val="99"/>
    <w:rsid w:val="003D6D42"/>
  </w:style>
  <w:style w:type="character" w:styleId="FootnoteReference">
    <w:name w:val="footnote reference"/>
    <w:aliases w:val="Footnote Reference Superscript,BVI fnr,Footnote symbol,Footnote,FR + (Complex) Arial,(Latin) 9 pt,(Complex) 10 pt + (Compl...,Nota,Appel note de bas de p,SUPERS,Footnotemark,FR,Footnotemark1,Footnotemark2,FR1,Footnotemark3,FR2,FR3,FR4"/>
    <w:basedOn w:val="DefaultParagraphFont"/>
    <w:uiPriority w:val="99"/>
    <w:unhideWhenUsed/>
    <w:rsid w:val="003D6D42"/>
    <w:rPr>
      <w:vertAlign w:val="superscript"/>
    </w:rPr>
  </w:style>
  <w:style w:type="paragraph" w:styleId="BalloonText">
    <w:name w:val="Balloon Text"/>
    <w:basedOn w:val="Normal"/>
    <w:link w:val="BalloonTextChar"/>
    <w:uiPriority w:val="99"/>
    <w:semiHidden/>
    <w:unhideWhenUsed/>
    <w:rsid w:val="004310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10BB"/>
    <w:rPr>
      <w:rFonts w:ascii="Lucida Grande" w:hAnsi="Lucida Grande" w:cs="Lucida Grande"/>
      <w:sz w:val="18"/>
      <w:szCs w:val="18"/>
    </w:rPr>
  </w:style>
  <w:style w:type="character" w:styleId="CommentReference">
    <w:name w:val="annotation reference"/>
    <w:basedOn w:val="DefaultParagraphFont"/>
    <w:uiPriority w:val="99"/>
    <w:semiHidden/>
    <w:unhideWhenUsed/>
    <w:rsid w:val="001B110E"/>
    <w:rPr>
      <w:sz w:val="18"/>
      <w:szCs w:val="18"/>
    </w:rPr>
  </w:style>
  <w:style w:type="paragraph" w:styleId="CommentText">
    <w:name w:val="annotation text"/>
    <w:basedOn w:val="Normal"/>
    <w:link w:val="CommentTextChar"/>
    <w:uiPriority w:val="99"/>
    <w:semiHidden/>
    <w:unhideWhenUsed/>
    <w:rsid w:val="001B110E"/>
  </w:style>
  <w:style w:type="character" w:customStyle="1" w:styleId="CommentTextChar">
    <w:name w:val="Comment Text Char"/>
    <w:basedOn w:val="DefaultParagraphFont"/>
    <w:link w:val="CommentText"/>
    <w:uiPriority w:val="99"/>
    <w:semiHidden/>
    <w:rsid w:val="001B110E"/>
  </w:style>
  <w:style w:type="paragraph" w:styleId="CommentSubject">
    <w:name w:val="annotation subject"/>
    <w:basedOn w:val="CommentText"/>
    <w:next w:val="CommentText"/>
    <w:link w:val="CommentSubjectChar"/>
    <w:uiPriority w:val="99"/>
    <w:semiHidden/>
    <w:unhideWhenUsed/>
    <w:rsid w:val="001B110E"/>
    <w:rPr>
      <w:b/>
      <w:bCs/>
      <w:sz w:val="20"/>
      <w:szCs w:val="20"/>
    </w:rPr>
  </w:style>
  <w:style w:type="character" w:customStyle="1" w:styleId="CommentSubjectChar">
    <w:name w:val="Comment Subject Char"/>
    <w:basedOn w:val="CommentTextChar"/>
    <w:link w:val="CommentSubject"/>
    <w:uiPriority w:val="99"/>
    <w:semiHidden/>
    <w:rsid w:val="001B110E"/>
    <w:rPr>
      <w:b/>
      <w:bCs/>
      <w:sz w:val="20"/>
      <w:szCs w:val="20"/>
    </w:rPr>
  </w:style>
  <w:style w:type="character" w:customStyle="1" w:styleId="Heading2Char">
    <w:name w:val="Heading 2 Char"/>
    <w:basedOn w:val="DefaultParagraphFont"/>
    <w:link w:val="Heading2"/>
    <w:uiPriority w:val="9"/>
    <w:rsid w:val="007469F8"/>
    <w:rPr>
      <w:rFonts w:ascii="Times" w:hAnsi="Times"/>
      <w:b/>
      <w:bCs/>
      <w:sz w:val="36"/>
      <w:szCs w:val="36"/>
    </w:rPr>
  </w:style>
  <w:style w:type="character" w:customStyle="1" w:styleId="Heading1Char">
    <w:name w:val="Heading 1 Char"/>
    <w:basedOn w:val="DefaultParagraphFont"/>
    <w:link w:val="Heading1"/>
    <w:uiPriority w:val="9"/>
    <w:rsid w:val="0082742B"/>
    <w:rPr>
      <w:rFonts w:asciiTheme="majorHAnsi" w:eastAsiaTheme="majorEastAsia" w:hAnsiTheme="majorHAnsi" w:cstheme="majorBidi"/>
      <w:b/>
      <w:bCs/>
      <w:color w:val="345A8A" w:themeColor="accent1" w:themeShade="B5"/>
      <w:sz w:val="32"/>
      <w:szCs w:val="32"/>
    </w:rPr>
  </w:style>
  <w:style w:type="paragraph" w:customStyle="1" w:styleId="Default">
    <w:name w:val="Default"/>
    <w:rsid w:val="00F10632"/>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D725A3"/>
    <w:pPr>
      <w:ind w:left="720"/>
      <w:contextualSpacing/>
    </w:pPr>
  </w:style>
  <w:style w:type="character" w:customStyle="1" w:styleId="Heading3Char">
    <w:name w:val="Heading 3 Char"/>
    <w:basedOn w:val="DefaultParagraphFont"/>
    <w:link w:val="Heading3"/>
    <w:uiPriority w:val="9"/>
    <w:semiHidden/>
    <w:rsid w:val="00192F8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B2141"/>
    <w:rPr>
      <w:b/>
      <w:bCs/>
    </w:rPr>
  </w:style>
  <w:style w:type="paragraph" w:styleId="Header">
    <w:name w:val="header"/>
    <w:basedOn w:val="Normal"/>
    <w:link w:val="HeaderChar"/>
    <w:uiPriority w:val="99"/>
    <w:unhideWhenUsed/>
    <w:rsid w:val="00B4091A"/>
    <w:pPr>
      <w:tabs>
        <w:tab w:val="center" w:pos="4320"/>
        <w:tab w:val="right" w:pos="8640"/>
      </w:tabs>
    </w:pPr>
  </w:style>
  <w:style w:type="character" w:customStyle="1" w:styleId="HeaderChar">
    <w:name w:val="Header Char"/>
    <w:basedOn w:val="DefaultParagraphFont"/>
    <w:link w:val="Header"/>
    <w:uiPriority w:val="99"/>
    <w:rsid w:val="00B4091A"/>
  </w:style>
  <w:style w:type="paragraph" w:styleId="Footer">
    <w:name w:val="footer"/>
    <w:basedOn w:val="Normal"/>
    <w:link w:val="FooterChar"/>
    <w:uiPriority w:val="99"/>
    <w:unhideWhenUsed/>
    <w:rsid w:val="00B4091A"/>
    <w:pPr>
      <w:tabs>
        <w:tab w:val="center" w:pos="4320"/>
        <w:tab w:val="right" w:pos="8640"/>
      </w:tabs>
    </w:pPr>
  </w:style>
  <w:style w:type="character" w:customStyle="1" w:styleId="FooterChar">
    <w:name w:val="Footer Char"/>
    <w:basedOn w:val="DefaultParagraphFont"/>
    <w:link w:val="Footer"/>
    <w:uiPriority w:val="99"/>
    <w:rsid w:val="00B4091A"/>
  </w:style>
  <w:style w:type="character" w:styleId="PageNumber">
    <w:name w:val="page number"/>
    <w:basedOn w:val="DefaultParagraphFont"/>
    <w:uiPriority w:val="99"/>
    <w:semiHidden/>
    <w:unhideWhenUsed/>
    <w:rsid w:val="00A648C6"/>
  </w:style>
  <w:style w:type="paragraph" w:styleId="Revision">
    <w:name w:val="Revision"/>
    <w:hidden/>
    <w:uiPriority w:val="99"/>
    <w:semiHidden/>
    <w:rsid w:val="003F5CDA"/>
  </w:style>
  <w:style w:type="paragraph" w:customStyle="1" w:styleId="EIFLTITLE">
    <w:name w:val="EIFL TITLE"/>
    <w:basedOn w:val="Heading1"/>
    <w:link w:val="EIFLTITLEChar"/>
    <w:qFormat/>
    <w:rsid w:val="00D63E21"/>
    <w:pPr>
      <w:jc w:val="center"/>
    </w:pPr>
    <w:rPr>
      <w:rFonts w:asciiTheme="minorBidi" w:hAnsiTheme="minorBidi"/>
      <w:bCs w:val="0"/>
      <w:color w:val="00B0F0"/>
      <w:sz w:val="28"/>
      <w:szCs w:val="28"/>
      <w:lang w:val="en-GB"/>
    </w:rPr>
  </w:style>
  <w:style w:type="paragraph" w:customStyle="1" w:styleId="EIFLHEAD1">
    <w:name w:val="EIFL HEAD1"/>
    <w:basedOn w:val="Normal"/>
    <w:link w:val="EIFLHEAD1Char"/>
    <w:qFormat/>
    <w:rsid w:val="00D63E21"/>
    <w:pPr>
      <w:shd w:val="clear" w:color="auto" w:fill="00B0F0"/>
    </w:pPr>
    <w:rPr>
      <w:rFonts w:asciiTheme="minorBidi" w:hAnsiTheme="minorBidi"/>
      <w:b/>
      <w:color w:val="FFFFFF" w:themeColor="background1"/>
      <w:lang w:val="en-GB"/>
    </w:rPr>
  </w:style>
  <w:style w:type="character" w:customStyle="1" w:styleId="EIFLTITLEChar">
    <w:name w:val="EIFL TITLE Char"/>
    <w:basedOn w:val="DefaultParagraphFont"/>
    <w:link w:val="EIFLTITLE"/>
    <w:rsid w:val="00D63E21"/>
    <w:rPr>
      <w:rFonts w:asciiTheme="minorBidi" w:eastAsiaTheme="majorEastAsia" w:hAnsiTheme="minorBidi" w:cstheme="majorBidi"/>
      <w:b/>
      <w:color w:val="00B0F0"/>
      <w:sz w:val="28"/>
      <w:szCs w:val="28"/>
      <w:lang w:val="en-GB"/>
    </w:rPr>
  </w:style>
  <w:style w:type="paragraph" w:customStyle="1" w:styleId="EIFLHEAD2">
    <w:name w:val="EIFL HEAD2"/>
    <w:basedOn w:val="Heading2"/>
    <w:link w:val="EIFLHEAD2Char"/>
    <w:qFormat/>
    <w:rsid w:val="00D63E21"/>
    <w:rPr>
      <w:rFonts w:asciiTheme="minorBidi" w:hAnsiTheme="minorBidi"/>
      <w:sz w:val="24"/>
      <w:lang w:val="en-GB"/>
    </w:rPr>
  </w:style>
  <w:style w:type="character" w:customStyle="1" w:styleId="EIFLHEAD1Char">
    <w:name w:val="EIFL HEAD1 Char"/>
    <w:basedOn w:val="DefaultParagraphFont"/>
    <w:link w:val="EIFLHEAD1"/>
    <w:rsid w:val="00D63E21"/>
    <w:rPr>
      <w:rFonts w:asciiTheme="minorBidi" w:hAnsiTheme="minorBidi"/>
      <w:b/>
      <w:color w:val="FFFFFF" w:themeColor="background1"/>
      <w:shd w:val="clear" w:color="auto" w:fill="00B0F0"/>
      <w:lang w:val="en-GB"/>
    </w:rPr>
  </w:style>
  <w:style w:type="character" w:customStyle="1" w:styleId="EIFLHEAD2Char">
    <w:name w:val="EIFL HEAD2 Char"/>
    <w:basedOn w:val="Heading2Char"/>
    <w:link w:val="EIFLHEAD2"/>
    <w:rsid w:val="00D63E21"/>
    <w:rPr>
      <w:rFonts w:asciiTheme="minorBidi" w:hAnsiTheme="minorBidi"/>
      <w:b/>
      <w:bCs/>
      <w:sz w:val="36"/>
      <w:szCs w:val="36"/>
      <w:lang w:val="en-GB"/>
    </w:rPr>
  </w:style>
  <w:style w:type="character" w:customStyle="1" w:styleId="st">
    <w:name w:val="st"/>
    <w:basedOn w:val="DefaultParagraphFont"/>
    <w:rsid w:val="00752CF3"/>
  </w:style>
  <w:style w:type="character" w:styleId="Emphasis">
    <w:name w:val="Emphasis"/>
    <w:basedOn w:val="DefaultParagraphFont"/>
    <w:uiPriority w:val="20"/>
    <w:qFormat/>
    <w:rsid w:val="00752CF3"/>
    <w:rPr>
      <w:i/>
      <w:iCs/>
    </w:rPr>
  </w:style>
  <w:style w:type="character" w:styleId="FollowedHyperlink">
    <w:name w:val="FollowedHyperlink"/>
    <w:basedOn w:val="DefaultParagraphFont"/>
    <w:uiPriority w:val="99"/>
    <w:semiHidden/>
    <w:unhideWhenUsed/>
    <w:rsid w:val="00752C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2038">
      <w:bodyDiv w:val="1"/>
      <w:marLeft w:val="0"/>
      <w:marRight w:val="0"/>
      <w:marTop w:val="0"/>
      <w:marBottom w:val="0"/>
      <w:divBdr>
        <w:top w:val="none" w:sz="0" w:space="0" w:color="auto"/>
        <w:left w:val="none" w:sz="0" w:space="0" w:color="auto"/>
        <w:bottom w:val="none" w:sz="0" w:space="0" w:color="auto"/>
        <w:right w:val="none" w:sz="0" w:space="0" w:color="auto"/>
      </w:divBdr>
    </w:div>
    <w:div w:id="33894820">
      <w:bodyDiv w:val="1"/>
      <w:marLeft w:val="0"/>
      <w:marRight w:val="0"/>
      <w:marTop w:val="0"/>
      <w:marBottom w:val="0"/>
      <w:divBdr>
        <w:top w:val="none" w:sz="0" w:space="0" w:color="auto"/>
        <w:left w:val="none" w:sz="0" w:space="0" w:color="auto"/>
        <w:bottom w:val="none" w:sz="0" w:space="0" w:color="auto"/>
        <w:right w:val="none" w:sz="0" w:space="0" w:color="auto"/>
      </w:divBdr>
    </w:div>
    <w:div w:id="116948693">
      <w:bodyDiv w:val="1"/>
      <w:marLeft w:val="0"/>
      <w:marRight w:val="0"/>
      <w:marTop w:val="0"/>
      <w:marBottom w:val="0"/>
      <w:divBdr>
        <w:top w:val="none" w:sz="0" w:space="0" w:color="auto"/>
        <w:left w:val="none" w:sz="0" w:space="0" w:color="auto"/>
        <w:bottom w:val="none" w:sz="0" w:space="0" w:color="auto"/>
        <w:right w:val="none" w:sz="0" w:space="0" w:color="auto"/>
      </w:divBdr>
      <w:divsChild>
        <w:div w:id="1612661481">
          <w:marLeft w:val="0"/>
          <w:marRight w:val="0"/>
          <w:marTop w:val="0"/>
          <w:marBottom w:val="0"/>
          <w:divBdr>
            <w:top w:val="none" w:sz="0" w:space="0" w:color="auto"/>
            <w:left w:val="none" w:sz="0" w:space="0" w:color="auto"/>
            <w:bottom w:val="none" w:sz="0" w:space="0" w:color="auto"/>
            <w:right w:val="none" w:sz="0" w:space="0" w:color="auto"/>
          </w:divBdr>
        </w:div>
        <w:div w:id="1946232954">
          <w:marLeft w:val="0"/>
          <w:marRight w:val="0"/>
          <w:marTop w:val="0"/>
          <w:marBottom w:val="0"/>
          <w:divBdr>
            <w:top w:val="none" w:sz="0" w:space="0" w:color="auto"/>
            <w:left w:val="none" w:sz="0" w:space="0" w:color="auto"/>
            <w:bottom w:val="none" w:sz="0" w:space="0" w:color="auto"/>
            <w:right w:val="none" w:sz="0" w:space="0" w:color="auto"/>
          </w:divBdr>
        </w:div>
        <w:div w:id="1720667728">
          <w:marLeft w:val="0"/>
          <w:marRight w:val="0"/>
          <w:marTop w:val="0"/>
          <w:marBottom w:val="0"/>
          <w:divBdr>
            <w:top w:val="none" w:sz="0" w:space="0" w:color="auto"/>
            <w:left w:val="none" w:sz="0" w:space="0" w:color="auto"/>
            <w:bottom w:val="none" w:sz="0" w:space="0" w:color="auto"/>
            <w:right w:val="none" w:sz="0" w:space="0" w:color="auto"/>
          </w:divBdr>
        </w:div>
        <w:div w:id="54202607">
          <w:marLeft w:val="0"/>
          <w:marRight w:val="0"/>
          <w:marTop w:val="0"/>
          <w:marBottom w:val="0"/>
          <w:divBdr>
            <w:top w:val="none" w:sz="0" w:space="0" w:color="auto"/>
            <w:left w:val="none" w:sz="0" w:space="0" w:color="auto"/>
            <w:bottom w:val="none" w:sz="0" w:space="0" w:color="auto"/>
            <w:right w:val="none" w:sz="0" w:space="0" w:color="auto"/>
          </w:divBdr>
        </w:div>
        <w:div w:id="552157598">
          <w:marLeft w:val="0"/>
          <w:marRight w:val="0"/>
          <w:marTop w:val="0"/>
          <w:marBottom w:val="0"/>
          <w:divBdr>
            <w:top w:val="none" w:sz="0" w:space="0" w:color="auto"/>
            <w:left w:val="none" w:sz="0" w:space="0" w:color="auto"/>
            <w:bottom w:val="none" w:sz="0" w:space="0" w:color="auto"/>
            <w:right w:val="none" w:sz="0" w:space="0" w:color="auto"/>
          </w:divBdr>
        </w:div>
        <w:div w:id="2018725213">
          <w:marLeft w:val="0"/>
          <w:marRight w:val="0"/>
          <w:marTop w:val="0"/>
          <w:marBottom w:val="0"/>
          <w:divBdr>
            <w:top w:val="none" w:sz="0" w:space="0" w:color="auto"/>
            <w:left w:val="none" w:sz="0" w:space="0" w:color="auto"/>
            <w:bottom w:val="none" w:sz="0" w:space="0" w:color="auto"/>
            <w:right w:val="none" w:sz="0" w:space="0" w:color="auto"/>
          </w:divBdr>
        </w:div>
      </w:divsChild>
    </w:div>
    <w:div w:id="494147925">
      <w:bodyDiv w:val="1"/>
      <w:marLeft w:val="0"/>
      <w:marRight w:val="0"/>
      <w:marTop w:val="0"/>
      <w:marBottom w:val="0"/>
      <w:divBdr>
        <w:top w:val="none" w:sz="0" w:space="0" w:color="auto"/>
        <w:left w:val="none" w:sz="0" w:space="0" w:color="auto"/>
        <w:bottom w:val="none" w:sz="0" w:space="0" w:color="auto"/>
        <w:right w:val="none" w:sz="0" w:space="0" w:color="auto"/>
      </w:divBdr>
    </w:div>
    <w:div w:id="590161404">
      <w:bodyDiv w:val="1"/>
      <w:marLeft w:val="0"/>
      <w:marRight w:val="0"/>
      <w:marTop w:val="0"/>
      <w:marBottom w:val="0"/>
      <w:divBdr>
        <w:top w:val="none" w:sz="0" w:space="0" w:color="auto"/>
        <w:left w:val="none" w:sz="0" w:space="0" w:color="auto"/>
        <w:bottom w:val="none" w:sz="0" w:space="0" w:color="auto"/>
        <w:right w:val="none" w:sz="0" w:space="0" w:color="auto"/>
      </w:divBdr>
    </w:div>
    <w:div w:id="866023142">
      <w:bodyDiv w:val="1"/>
      <w:marLeft w:val="0"/>
      <w:marRight w:val="0"/>
      <w:marTop w:val="0"/>
      <w:marBottom w:val="0"/>
      <w:divBdr>
        <w:top w:val="none" w:sz="0" w:space="0" w:color="auto"/>
        <w:left w:val="none" w:sz="0" w:space="0" w:color="auto"/>
        <w:bottom w:val="none" w:sz="0" w:space="0" w:color="auto"/>
        <w:right w:val="none" w:sz="0" w:space="0" w:color="auto"/>
      </w:divBdr>
    </w:div>
    <w:div w:id="912203090">
      <w:bodyDiv w:val="1"/>
      <w:marLeft w:val="0"/>
      <w:marRight w:val="0"/>
      <w:marTop w:val="0"/>
      <w:marBottom w:val="0"/>
      <w:divBdr>
        <w:top w:val="none" w:sz="0" w:space="0" w:color="auto"/>
        <w:left w:val="none" w:sz="0" w:space="0" w:color="auto"/>
        <w:bottom w:val="none" w:sz="0" w:space="0" w:color="auto"/>
        <w:right w:val="none" w:sz="0" w:space="0" w:color="auto"/>
      </w:divBdr>
    </w:div>
    <w:div w:id="973101025">
      <w:bodyDiv w:val="1"/>
      <w:marLeft w:val="0"/>
      <w:marRight w:val="0"/>
      <w:marTop w:val="0"/>
      <w:marBottom w:val="0"/>
      <w:divBdr>
        <w:top w:val="none" w:sz="0" w:space="0" w:color="auto"/>
        <w:left w:val="none" w:sz="0" w:space="0" w:color="auto"/>
        <w:bottom w:val="none" w:sz="0" w:space="0" w:color="auto"/>
        <w:right w:val="none" w:sz="0" w:space="0" w:color="auto"/>
      </w:divBdr>
    </w:div>
    <w:div w:id="1028680467">
      <w:bodyDiv w:val="1"/>
      <w:marLeft w:val="0"/>
      <w:marRight w:val="0"/>
      <w:marTop w:val="0"/>
      <w:marBottom w:val="0"/>
      <w:divBdr>
        <w:top w:val="none" w:sz="0" w:space="0" w:color="auto"/>
        <w:left w:val="none" w:sz="0" w:space="0" w:color="auto"/>
        <w:bottom w:val="none" w:sz="0" w:space="0" w:color="auto"/>
        <w:right w:val="none" w:sz="0" w:space="0" w:color="auto"/>
      </w:divBdr>
    </w:div>
    <w:div w:id="1168594325">
      <w:bodyDiv w:val="1"/>
      <w:marLeft w:val="0"/>
      <w:marRight w:val="0"/>
      <w:marTop w:val="0"/>
      <w:marBottom w:val="0"/>
      <w:divBdr>
        <w:top w:val="none" w:sz="0" w:space="0" w:color="auto"/>
        <w:left w:val="none" w:sz="0" w:space="0" w:color="auto"/>
        <w:bottom w:val="none" w:sz="0" w:space="0" w:color="auto"/>
        <w:right w:val="none" w:sz="0" w:space="0" w:color="auto"/>
      </w:divBdr>
    </w:div>
    <w:div w:id="1350137021">
      <w:bodyDiv w:val="1"/>
      <w:marLeft w:val="0"/>
      <w:marRight w:val="0"/>
      <w:marTop w:val="0"/>
      <w:marBottom w:val="0"/>
      <w:divBdr>
        <w:top w:val="none" w:sz="0" w:space="0" w:color="auto"/>
        <w:left w:val="none" w:sz="0" w:space="0" w:color="auto"/>
        <w:bottom w:val="none" w:sz="0" w:space="0" w:color="auto"/>
        <w:right w:val="none" w:sz="0" w:space="0" w:color="auto"/>
      </w:divBdr>
    </w:div>
    <w:div w:id="1448550203">
      <w:bodyDiv w:val="1"/>
      <w:marLeft w:val="0"/>
      <w:marRight w:val="0"/>
      <w:marTop w:val="0"/>
      <w:marBottom w:val="0"/>
      <w:divBdr>
        <w:top w:val="none" w:sz="0" w:space="0" w:color="auto"/>
        <w:left w:val="none" w:sz="0" w:space="0" w:color="auto"/>
        <w:bottom w:val="none" w:sz="0" w:space="0" w:color="auto"/>
        <w:right w:val="none" w:sz="0" w:space="0" w:color="auto"/>
      </w:divBdr>
    </w:div>
    <w:div w:id="1520460867">
      <w:bodyDiv w:val="1"/>
      <w:marLeft w:val="0"/>
      <w:marRight w:val="0"/>
      <w:marTop w:val="0"/>
      <w:marBottom w:val="0"/>
      <w:divBdr>
        <w:top w:val="none" w:sz="0" w:space="0" w:color="auto"/>
        <w:left w:val="none" w:sz="0" w:space="0" w:color="auto"/>
        <w:bottom w:val="none" w:sz="0" w:space="0" w:color="auto"/>
        <w:right w:val="none" w:sz="0" w:space="0" w:color="auto"/>
      </w:divBdr>
      <w:divsChild>
        <w:div w:id="649016373">
          <w:marLeft w:val="0"/>
          <w:marRight w:val="0"/>
          <w:marTop w:val="0"/>
          <w:marBottom w:val="0"/>
          <w:divBdr>
            <w:top w:val="none" w:sz="0" w:space="0" w:color="auto"/>
            <w:left w:val="none" w:sz="0" w:space="0" w:color="auto"/>
            <w:bottom w:val="none" w:sz="0" w:space="0" w:color="auto"/>
            <w:right w:val="none" w:sz="0" w:space="0" w:color="auto"/>
          </w:divBdr>
          <w:divsChild>
            <w:div w:id="119310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635">
      <w:bodyDiv w:val="1"/>
      <w:marLeft w:val="0"/>
      <w:marRight w:val="0"/>
      <w:marTop w:val="0"/>
      <w:marBottom w:val="0"/>
      <w:divBdr>
        <w:top w:val="none" w:sz="0" w:space="0" w:color="auto"/>
        <w:left w:val="none" w:sz="0" w:space="0" w:color="auto"/>
        <w:bottom w:val="none" w:sz="0" w:space="0" w:color="auto"/>
        <w:right w:val="none" w:sz="0" w:space="0" w:color="auto"/>
      </w:divBdr>
    </w:div>
    <w:div w:id="1584677245">
      <w:bodyDiv w:val="1"/>
      <w:marLeft w:val="0"/>
      <w:marRight w:val="0"/>
      <w:marTop w:val="0"/>
      <w:marBottom w:val="0"/>
      <w:divBdr>
        <w:top w:val="none" w:sz="0" w:space="0" w:color="auto"/>
        <w:left w:val="none" w:sz="0" w:space="0" w:color="auto"/>
        <w:bottom w:val="none" w:sz="0" w:space="0" w:color="auto"/>
        <w:right w:val="none" w:sz="0" w:space="0" w:color="auto"/>
      </w:divBdr>
    </w:div>
    <w:div w:id="1663503814">
      <w:bodyDiv w:val="1"/>
      <w:marLeft w:val="0"/>
      <w:marRight w:val="0"/>
      <w:marTop w:val="0"/>
      <w:marBottom w:val="0"/>
      <w:divBdr>
        <w:top w:val="none" w:sz="0" w:space="0" w:color="auto"/>
        <w:left w:val="none" w:sz="0" w:space="0" w:color="auto"/>
        <w:bottom w:val="none" w:sz="0" w:space="0" w:color="auto"/>
        <w:right w:val="none" w:sz="0" w:space="0" w:color="auto"/>
      </w:divBdr>
    </w:div>
    <w:div w:id="1801268861">
      <w:bodyDiv w:val="1"/>
      <w:marLeft w:val="0"/>
      <w:marRight w:val="0"/>
      <w:marTop w:val="0"/>
      <w:marBottom w:val="0"/>
      <w:divBdr>
        <w:top w:val="none" w:sz="0" w:space="0" w:color="auto"/>
        <w:left w:val="none" w:sz="0" w:space="0" w:color="auto"/>
        <w:bottom w:val="none" w:sz="0" w:space="0" w:color="auto"/>
        <w:right w:val="none" w:sz="0" w:space="0" w:color="auto"/>
      </w:divBdr>
    </w:div>
    <w:div w:id="1929999858">
      <w:bodyDiv w:val="1"/>
      <w:marLeft w:val="0"/>
      <w:marRight w:val="0"/>
      <w:marTop w:val="0"/>
      <w:marBottom w:val="0"/>
      <w:divBdr>
        <w:top w:val="none" w:sz="0" w:space="0" w:color="auto"/>
        <w:left w:val="none" w:sz="0" w:space="0" w:color="auto"/>
        <w:bottom w:val="none" w:sz="0" w:space="0" w:color="auto"/>
        <w:right w:val="none" w:sz="0" w:space="0" w:color="auto"/>
      </w:divBdr>
      <w:divsChild>
        <w:div w:id="671184711">
          <w:marLeft w:val="0"/>
          <w:marRight w:val="0"/>
          <w:marTop w:val="0"/>
          <w:marBottom w:val="0"/>
          <w:divBdr>
            <w:top w:val="none" w:sz="0" w:space="0" w:color="auto"/>
            <w:left w:val="none" w:sz="0" w:space="0" w:color="auto"/>
            <w:bottom w:val="none" w:sz="0" w:space="0" w:color="auto"/>
            <w:right w:val="none" w:sz="0" w:space="0" w:color="auto"/>
          </w:divBdr>
        </w:div>
        <w:div w:id="491411204">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 w:id="129516707">
          <w:marLeft w:val="0"/>
          <w:marRight w:val="0"/>
          <w:marTop w:val="0"/>
          <w:marBottom w:val="0"/>
          <w:divBdr>
            <w:top w:val="none" w:sz="0" w:space="0" w:color="auto"/>
            <w:left w:val="none" w:sz="0" w:space="0" w:color="auto"/>
            <w:bottom w:val="none" w:sz="0" w:space="0" w:color="auto"/>
            <w:right w:val="none" w:sz="0" w:space="0" w:color="auto"/>
          </w:divBdr>
        </w:div>
        <w:div w:id="1128621105">
          <w:marLeft w:val="0"/>
          <w:marRight w:val="0"/>
          <w:marTop w:val="0"/>
          <w:marBottom w:val="0"/>
          <w:divBdr>
            <w:top w:val="none" w:sz="0" w:space="0" w:color="auto"/>
            <w:left w:val="none" w:sz="0" w:space="0" w:color="auto"/>
            <w:bottom w:val="none" w:sz="0" w:space="0" w:color="auto"/>
            <w:right w:val="none" w:sz="0" w:space="0" w:color="auto"/>
          </w:divBdr>
        </w:div>
        <w:div w:id="1227377188">
          <w:marLeft w:val="0"/>
          <w:marRight w:val="0"/>
          <w:marTop w:val="0"/>
          <w:marBottom w:val="0"/>
          <w:divBdr>
            <w:top w:val="none" w:sz="0" w:space="0" w:color="auto"/>
            <w:left w:val="none" w:sz="0" w:space="0" w:color="auto"/>
            <w:bottom w:val="none" w:sz="0" w:space="0" w:color="auto"/>
            <w:right w:val="none" w:sz="0" w:space="0" w:color="auto"/>
          </w:divBdr>
        </w:div>
      </w:divsChild>
    </w:div>
    <w:div w:id="1943951036">
      <w:bodyDiv w:val="1"/>
      <w:marLeft w:val="0"/>
      <w:marRight w:val="0"/>
      <w:marTop w:val="0"/>
      <w:marBottom w:val="0"/>
      <w:divBdr>
        <w:top w:val="none" w:sz="0" w:space="0" w:color="auto"/>
        <w:left w:val="none" w:sz="0" w:space="0" w:color="auto"/>
        <w:bottom w:val="none" w:sz="0" w:space="0" w:color="auto"/>
        <w:right w:val="none" w:sz="0" w:space="0" w:color="auto"/>
      </w:divBdr>
    </w:div>
    <w:div w:id="2007590291">
      <w:bodyDiv w:val="1"/>
      <w:marLeft w:val="0"/>
      <w:marRight w:val="0"/>
      <w:marTop w:val="0"/>
      <w:marBottom w:val="0"/>
      <w:divBdr>
        <w:top w:val="none" w:sz="0" w:space="0" w:color="auto"/>
        <w:left w:val="none" w:sz="0" w:space="0" w:color="auto"/>
        <w:bottom w:val="none" w:sz="0" w:space="0" w:color="auto"/>
        <w:right w:val="none" w:sz="0" w:space="0" w:color="auto"/>
      </w:divBdr>
    </w:div>
    <w:div w:id="2116829581">
      <w:bodyDiv w:val="1"/>
      <w:marLeft w:val="0"/>
      <w:marRight w:val="0"/>
      <w:marTop w:val="0"/>
      <w:marBottom w:val="0"/>
      <w:divBdr>
        <w:top w:val="none" w:sz="0" w:space="0" w:color="auto"/>
        <w:left w:val="none" w:sz="0" w:space="0" w:color="auto"/>
        <w:bottom w:val="none" w:sz="0" w:space="0" w:color="auto"/>
        <w:right w:val="none" w:sz="0" w:space="0" w:color="auto"/>
      </w:divBdr>
      <w:divsChild>
        <w:div w:id="234975579">
          <w:marLeft w:val="0"/>
          <w:marRight w:val="0"/>
          <w:marTop w:val="0"/>
          <w:marBottom w:val="0"/>
          <w:divBdr>
            <w:top w:val="none" w:sz="0" w:space="0" w:color="auto"/>
            <w:left w:val="none" w:sz="0" w:space="0" w:color="auto"/>
            <w:bottom w:val="none" w:sz="0" w:space="0" w:color="auto"/>
            <w:right w:val="none" w:sz="0" w:space="0" w:color="auto"/>
          </w:divBdr>
        </w:div>
        <w:div w:id="1298293341">
          <w:marLeft w:val="0"/>
          <w:marRight w:val="0"/>
          <w:marTop w:val="0"/>
          <w:marBottom w:val="0"/>
          <w:divBdr>
            <w:top w:val="none" w:sz="0" w:space="0" w:color="auto"/>
            <w:left w:val="none" w:sz="0" w:space="0" w:color="auto"/>
            <w:bottom w:val="none" w:sz="0" w:space="0" w:color="auto"/>
            <w:right w:val="none" w:sz="0" w:space="0" w:color="auto"/>
          </w:divBdr>
        </w:div>
        <w:div w:id="908929422">
          <w:marLeft w:val="0"/>
          <w:marRight w:val="0"/>
          <w:marTop w:val="0"/>
          <w:marBottom w:val="0"/>
          <w:divBdr>
            <w:top w:val="none" w:sz="0" w:space="0" w:color="auto"/>
            <w:left w:val="none" w:sz="0" w:space="0" w:color="auto"/>
            <w:bottom w:val="none" w:sz="0" w:space="0" w:color="auto"/>
            <w:right w:val="none" w:sz="0" w:space="0" w:color="auto"/>
          </w:divBdr>
        </w:div>
        <w:div w:id="904604568">
          <w:marLeft w:val="0"/>
          <w:marRight w:val="0"/>
          <w:marTop w:val="0"/>
          <w:marBottom w:val="0"/>
          <w:divBdr>
            <w:top w:val="none" w:sz="0" w:space="0" w:color="auto"/>
            <w:left w:val="none" w:sz="0" w:space="0" w:color="auto"/>
            <w:bottom w:val="none" w:sz="0" w:space="0" w:color="auto"/>
            <w:right w:val="none" w:sz="0" w:space="0" w:color="auto"/>
          </w:divBdr>
        </w:div>
        <w:div w:id="191919068">
          <w:marLeft w:val="0"/>
          <w:marRight w:val="0"/>
          <w:marTop w:val="0"/>
          <w:marBottom w:val="0"/>
          <w:divBdr>
            <w:top w:val="none" w:sz="0" w:space="0" w:color="auto"/>
            <w:left w:val="none" w:sz="0" w:space="0" w:color="auto"/>
            <w:bottom w:val="none" w:sz="0" w:space="0" w:color="auto"/>
            <w:right w:val="none" w:sz="0" w:space="0" w:color="auto"/>
          </w:divBdr>
        </w:div>
        <w:div w:id="1800146783">
          <w:marLeft w:val="0"/>
          <w:marRight w:val="0"/>
          <w:marTop w:val="0"/>
          <w:marBottom w:val="0"/>
          <w:divBdr>
            <w:top w:val="none" w:sz="0" w:space="0" w:color="auto"/>
            <w:left w:val="none" w:sz="0" w:space="0" w:color="auto"/>
            <w:bottom w:val="none" w:sz="0" w:space="0" w:color="auto"/>
            <w:right w:val="none" w:sz="0" w:space="0" w:color="auto"/>
          </w:divBdr>
        </w:div>
        <w:div w:id="1066030617">
          <w:marLeft w:val="0"/>
          <w:marRight w:val="0"/>
          <w:marTop w:val="0"/>
          <w:marBottom w:val="0"/>
          <w:divBdr>
            <w:top w:val="none" w:sz="0" w:space="0" w:color="auto"/>
            <w:left w:val="none" w:sz="0" w:space="0" w:color="auto"/>
            <w:bottom w:val="none" w:sz="0" w:space="0" w:color="auto"/>
            <w:right w:val="none" w:sz="0" w:space="0" w:color="auto"/>
          </w:divBdr>
        </w:div>
        <w:div w:id="39578594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fla.org/node/1087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ipo.int/treaties/en/ShowResults.jsp?lang=en&amp;treaty_id=843"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euroblind.org/media/position-papers/EBU-position-paper-on-EC-proposals-to-implement-MarrakechTreaty.pdf" TargetMode="External"/><Relationship Id="rId4" Type="http://schemas.openxmlformats.org/officeDocument/2006/relationships/webSettings" Target="webSettings.xml"/><Relationship Id="rId9" Type="http://schemas.openxmlformats.org/officeDocument/2006/relationships/hyperlink" Target="http://www.euroblind.org/media/position-papers/EBU-position-paper-on-EC-proposals-to-implement-MarrakechTreaty.doc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1781</Words>
  <Characters>10156</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Implementation of the  Marrakesh Treaty for persons with print disabilities  Fr</vt:lpstr>
      <vt:lpstr>December 2016</vt:lpstr>
    </vt:vector>
  </TitlesOfParts>
  <Company/>
  <LinksUpToDate>false</LinksUpToDate>
  <CharactersWithSpaces>11914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Hackett</dc:creator>
  <cp:keywords/>
  <dc:description/>
  <cp:lastModifiedBy>EIFL-PLIP</cp:lastModifiedBy>
  <cp:revision>5</cp:revision>
  <cp:lastPrinted>2016-12-20T10:35:00Z</cp:lastPrinted>
  <dcterms:created xsi:type="dcterms:W3CDTF">2017-01-12T11:38:00Z</dcterms:created>
  <dcterms:modified xsi:type="dcterms:W3CDTF">2017-01-12T14:12:00Z</dcterms:modified>
</cp:coreProperties>
</file>