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3DC" w14:textId="04DD9F91" w:rsidR="003C7D7F" w:rsidRPr="0089058B" w:rsidRDefault="00000000">
      <w:pPr>
        <w:pStyle w:val="Heading1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 xml:space="preserve">Editorial Board Report </w:t>
      </w:r>
    </w:p>
    <w:p w14:paraId="771B7401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Journal: [</w:t>
      </w:r>
      <w:proofErr w:type="gramStart"/>
      <w:r w:rsidRPr="0089058B">
        <w:rPr>
          <w:rFonts w:ascii="Century Gothic" w:hAnsi="Century Gothic"/>
          <w:sz w:val="21"/>
          <w:szCs w:val="21"/>
        </w:rPr>
        <w:t xml:space="preserve">Name]   </w:t>
      </w:r>
      <w:proofErr w:type="gramEnd"/>
      <w:r w:rsidRPr="0089058B">
        <w:rPr>
          <w:rFonts w:ascii="Century Gothic" w:hAnsi="Century Gothic"/>
          <w:sz w:val="21"/>
          <w:szCs w:val="21"/>
        </w:rPr>
        <w:t xml:space="preserve"> |    Reporting period: [Start–End]    |    Prepared by: [Editor/Team]    |    Date: [YYYY-MM-DD]</w:t>
      </w:r>
    </w:p>
    <w:p w14:paraId="733E3655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0) Executive Summary (≤6 lines)</w:t>
      </w:r>
    </w:p>
    <w:p w14:paraId="34B75157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Key highlights: [Top 3 wins]</w:t>
      </w:r>
    </w:p>
    <w:p w14:paraId="77B8572F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Critical risks: [Top 1–2 issues + mitigation]</w:t>
      </w:r>
    </w:p>
    <w:p w14:paraId="75F5AB72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Board decisions required: [List 2–4 clear asks]</w:t>
      </w:r>
    </w:p>
    <w:p w14:paraId="6CBF1A8A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1) Performance Snapshot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786"/>
        <w:gridCol w:w="1786"/>
        <w:gridCol w:w="2128"/>
        <w:gridCol w:w="1807"/>
      </w:tblGrid>
      <w:tr w:rsidR="003C7D7F" w:rsidRPr="0089058B" w14:paraId="6573C07A" w14:textId="77777777">
        <w:trPr>
          <w:jc w:val="center"/>
        </w:trPr>
        <w:tc>
          <w:tcPr>
            <w:tcW w:w="1872" w:type="dxa"/>
            <w:vAlign w:val="center"/>
          </w:tcPr>
          <w:p w14:paraId="7A6A1026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KPI</w:t>
            </w:r>
          </w:p>
        </w:tc>
        <w:tc>
          <w:tcPr>
            <w:tcW w:w="1872" w:type="dxa"/>
            <w:vAlign w:val="center"/>
          </w:tcPr>
          <w:p w14:paraId="51FA70EC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This period</w:t>
            </w:r>
          </w:p>
        </w:tc>
        <w:tc>
          <w:tcPr>
            <w:tcW w:w="1872" w:type="dxa"/>
            <w:vAlign w:val="center"/>
          </w:tcPr>
          <w:p w14:paraId="0FCAF5F7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Prev. period</w:t>
            </w:r>
          </w:p>
        </w:tc>
        <w:tc>
          <w:tcPr>
            <w:tcW w:w="1872" w:type="dxa"/>
            <w:vAlign w:val="center"/>
          </w:tcPr>
          <w:p w14:paraId="784AAB3E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Target/benchmark</w:t>
            </w:r>
          </w:p>
        </w:tc>
        <w:tc>
          <w:tcPr>
            <w:tcW w:w="1872" w:type="dxa"/>
            <w:vAlign w:val="center"/>
          </w:tcPr>
          <w:p w14:paraId="6398514C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Direction (↑↓→)</w:t>
            </w:r>
          </w:p>
        </w:tc>
      </w:tr>
      <w:tr w:rsidR="003C7D7F" w:rsidRPr="0089058B" w14:paraId="76BC9EAA" w14:textId="77777777">
        <w:trPr>
          <w:jc w:val="center"/>
        </w:trPr>
        <w:tc>
          <w:tcPr>
            <w:tcW w:w="1872" w:type="dxa"/>
          </w:tcPr>
          <w:p w14:paraId="24ABE96E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New submissions</w:t>
            </w:r>
          </w:p>
        </w:tc>
        <w:tc>
          <w:tcPr>
            <w:tcW w:w="1872" w:type="dxa"/>
          </w:tcPr>
          <w:p w14:paraId="7226E40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906837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9EE1238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D3DCBB4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162FF3ED" w14:textId="77777777">
        <w:trPr>
          <w:jc w:val="center"/>
        </w:trPr>
        <w:tc>
          <w:tcPr>
            <w:tcW w:w="1872" w:type="dxa"/>
          </w:tcPr>
          <w:p w14:paraId="3D1FDDB6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Final decisions (A / R / RR)</w:t>
            </w:r>
          </w:p>
        </w:tc>
        <w:tc>
          <w:tcPr>
            <w:tcW w:w="1872" w:type="dxa"/>
          </w:tcPr>
          <w:p w14:paraId="0A8975FF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 xml:space="preserve">A:  | R:  | RR:  </w:t>
            </w:r>
          </w:p>
        </w:tc>
        <w:tc>
          <w:tcPr>
            <w:tcW w:w="1872" w:type="dxa"/>
          </w:tcPr>
          <w:p w14:paraId="56807A2C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9DBCF37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e.g., ≤90d median</w:t>
            </w:r>
          </w:p>
        </w:tc>
        <w:tc>
          <w:tcPr>
            <w:tcW w:w="1872" w:type="dxa"/>
          </w:tcPr>
          <w:p w14:paraId="20A933AB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36FE6565" w14:textId="77777777">
        <w:trPr>
          <w:jc w:val="center"/>
        </w:trPr>
        <w:tc>
          <w:tcPr>
            <w:tcW w:w="1872" w:type="dxa"/>
          </w:tcPr>
          <w:p w14:paraId="48AD858B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Rejection rate (%)</w:t>
            </w:r>
          </w:p>
        </w:tc>
        <w:tc>
          <w:tcPr>
            <w:tcW w:w="1872" w:type="dxa"/>
          </w:tcPr>
          <w:p w14:paraId="43E8F30C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C0ED1F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655AF54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0340708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59BDA21A" w14:textId="77777777">
        <w:trPr>
          <w:jc w:val="center"/>
        </w:trPr>
        <w:tc>
          <w:tcPr>
            <w:tcW w:w="1872" w:type="dxa"/>
          </w:tcPr>
          <w:p w14:paraId="5884A2F7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Submission → first decision (median days)</w:t>
            </w:r>
          </w:p>
        </w:tc>
        <w:tc>
          <w:tcPr>
            <w:tcW w:w="1872" w:type="dxa"/>
          </w:tcPr>
          <w:p w14:paraId="736CBE4F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DCDE213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E66B2AA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≤ XX</w:t>
            </w:r>
          </w:p>
        </w:tc>
        <w:tc>
          <w:tcPr>
            <w:tcW w:w="1872" w:type="dxa"/>
          </w:tcPr>
          <w:p w14:paraId="54E113B3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0B3A5625" w14:textId="77777777">
        <w:trPr>
          <w:jc w:val="center"/>
        </w:trPr>
        <w:tc>
          <w:tcPr>
            <w:tcW w:w="1872" w:type="dxa"/>
          </w:tcPr>
          <w:p w14:paraId="5B00A4BF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First decision → final decision (median days)</w:t>
            </w:r>
          </w:p>
        </w:tc>
        <w:tc>
          <w:tcPr>
            <w:tcW w:w="1872" w:type="dxa"/>
          </w:tcPr>
          <w:p w14:paraId="42BD2368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D041576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0B8310C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≤ XX</w:t>
            </w:r>
          </w:p>
        </w:tc>
        <w:tc>
          <w:tcPr>
            <w:tcW w:w="1872" w:type="dxa"/>
          </w:tcPr>
          <w:p w14:paraId="453E89D4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1E9A5C72" w14:textId="77777777">
        <w:trPr>
          <w:jc w:val="center"/>
        </w:trPr>
        <w:tc>
          <w:tcPr>
            <w:tcW w:w="1872" w:type="dxa"/>
          </w:tcPr>
          <w:p w14:paraId="580791E5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Reviews per manuscript (median)</w:t>
            </w:r>
          </w:p>
        </w:tc>
        <w:tc>
          <w:tcPr>
            <w:tcW w:w="1872" w:type="dxa"/>
          </w:tcPr>
          <w:p w14:paraId="3574F0D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247F1C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D12FCF6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≥ 2</w:t>
            </w:r>
          </w:p>
        </w:tc>
        <w:tc>
          <w:tcPr>
            <w:tcW w:w="1872" w:type="dxa"/>
          </w:tcPr>
          <w:p w14:paraId="5C7F66DF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5D4ACB9A" w14:textId="77777777">
        <w:trPr>
          <w:jc w:val="center"/>
        </w:trPr>
        <w:tc>
          <w:tcPr>
            <w:tcW w:w="1872" w:type="dxa"/>
          </w:tcPr>
          <w:p w14:paraId="22D93651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Reviewer acceptance rate (%)</w:t>
            </w:r>
          </w:p>
        </w:tc>
        <w:tc>
          <w:tcPr>
            <w:tcW w:w="1872" w:type="dxa"/>
          </w:tcPr>
          <w:p w14:paraId="02057E0C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7C143D0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C5357E9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≥ 40–60%</w:t>
            </w:r>
          </w:p>
        </w:tc>
        <w:tc>
          <w:tcPr>
            <w:tcW w:w="1872" w:type="dxa"/>
          </w:tcPr>
          <w:p w14:paraId="64604BDA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1B444CBA" w14:textId="77777777">
        <w:trPr>
          <w:jc w:val="center"/>
        </w:trPr>
        <w:tc>
          <w:tcPr>
            <w:tcW w:w="1872" w:type="dxa"/>
          </w:tcPr>
          <w:p w14:paraId="1971B1E2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Reviewer turnaround (median days)</w:t>
            </w:r>
          </w:p>
        </w:tc>
        <w:tc>
          <w:tcPr>
            <w:tcW w:w="1872" w:type="dxa"/>
          </w:tcPr>
          <w:p w14:paraId="39C1E3E6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E50BC4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52F150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≤ 14–21</w:t>
            </w:r>
          </w:p>
        </w:tc>
        <w:tc>
          <w:tcPr>
            <w:tcW w:w="1872" w:type="dxa"/>
          </w:tcPr>
          <w:p w14:paraId="3B0072E3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668BC0F9" w14:textId="77777777">
        <w:trPr>
          <w:jc w:val="center"/>
        </w:trPr>
        <w:tc>
          <w:tcPr>
            <w:tcW w:w="1872" w:type="dxa"/>
          </w:tcPr>
          <w:p w14:paraId="26404261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Backlog / pending manuscripts (queue depth)</w:t>
            </w:r>
          </w:p>
        </w:tc>
        <w:tc>
          <w:tcPr>
            <w:tcW w:w="1872" w:type="dxa"/>
          </w:tcPr>
          <w:p w14:paraId="0A3F4FAB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9E01116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3FC5B2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34198B2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5CF34371" w14:textId="77777777">
        <w:trPr>
          <w:jc w:val="center"/>
        </w:trPr>
        <w:tc>
          <w:tcPr>
            <w:tcW w:w="1872" w:type="dxa"/>
          </w:tcPr>
          <w:p w14:paraId="1A770845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Editor workload (manuscripts per handling editor)</w:t>
            </w:r>
          </w:p>
        </w:tc>
        <w:tc>
          <w:tcPr>
            <w:tcW w:w="1872" w:type="dxa"/>
          </w:tcPr>
          <w:p w14:paraId="6385038D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0E612D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56C8032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E7EAE57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61DF664B" w14:textId="77777777">
        <w:trPr>
          <w:jc w:val="center"/>
        </w:trPr>
        <w:tc>
          <w:tcPr>
            <w:tcW w:w="1872" w:type="dxa"/>
          </w:tcPr>
          <w:p w14:paraId="7B6F23A2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Acceptance → publication (median days)</w:t>
            </w:r>
          </w:p>
        </w:tc>
        <w:tc>
          <w:tcPr>
            <w:tcW w:w="1872" w:type="dxa"/>
          </w:tcPr>
          <w:p w14:paraId="71B6F908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37C996D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E16A545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≤ XX</w:t>
            </w:r>
          </w:p>
        </w:tc>
        <w:tc>
          <w:tcPr>
            <w:tcW w:w="1872" w:type="dxa"/>
          </w:tcPr>
          <w:p w14:paraId="35CF0429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641562F7" w14:textId="77777777">
        <w:trPr>
          <w:jc w:val="center"/>
        </w:trPr>
        <w:tc>
          <w:tcPr>
            <w:tcW w:w="1872" w:type="dxa"/>
          </w:tcPr>
          <w:p w14:paraId="52643D70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Withdrawal rate (%)</w:t>
            </w:r>
          </w:p>
        </w:tc>
        <w:tc>
          <w:tcPr>
            <w:tcW w:w="1872" w:type="dxa"/>
          </w:tcPr>
          <w:p w14:paraId="6A95C4A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EA5579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81EF6ED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6F3DA95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06F8EDA5" w14:textId="77777777">
        <w:trPr>
          <w:jc w:val="center"/>
        </w:trPr>
        <w:tc>
          <w:tcPr>
            <w:tcW w:w="1872" w:type="dxa"/>
          </w:tcPr>
          <w:p w14:paraId="23827998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Article views / downloads</w:t>
            </w:r>
          </w:p>
        </w:tc>
        <w:tc>
          <w:tcPr>
            <w:tcW w:w="1872" w:type="dxa"/>
          </w:tcPr>
          <w:p w14:paraId="5F7F8A38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AE6638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38616ED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trend</w:t>
            </w:r>
          </w:p>
        </w:tc>
        <w:tc>
          <w:tcPr>
            <w:tcW w:w="1872" w:type="dxa"/>
          </w:tcPr>
          <w:p w14:paraId="3A2A61DB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439F2505" w14:textId="77777777">
        <w:trPr>
          <w:jc w:val="center"/>
        </w:trPr>
        <w:tc>
          <w:tcPr>
            <w:tcW w:w="1872" w:type="dxa"/>
          </w:tcPr>
          <w:p w14:paraId="16C199AD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 xml:space="preserve">Citations / </w:t>
            </w:r>
            <w:r w:rsidRPr="0089058B">
              <w:rPr>
                <w:rFonts w:ascii="Century Gothic" w:hAnsi="Century Gothic"/>
                <w:b/>
                <w:sz w:val="21"/>
                <w:szCs w:val="21"/>
              </w:rPr>
              <w:lastRenderedPageBreak/>
              <w:t>indexing notes</w:t>
            </w:r>
          </w:p>
        </w:tc>
        <w:tc>
          <w:tcPr>
            <w:tcW w:w="1872" w:type="dxa"/>
          </w:tcPr>
          <w:p w14:paraId="1C31474F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98963CA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6C5F7CE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sz w:val="21"/>
                <w:szCs w:val="21"/>
              </w:rPr>
              <w:t>brief</w:t>
            </w:r>
          </w:p>
        </w:tc>
        <w:tc>
          <w:tcPr>
            <w:tcW w:w="1872" w:type="dxa"/>
          </w:tcPr>
          <w:p w14:paraId="43C04EE3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6EC45A0E" w14:textId="77777777" w:rsidR="00E55EEF" w:rsidRDefault="00E55EEF">
      <w:pPr>
        <w:spacing w:after="120"/>
        <w:rPr>
          <w:rFonts w:ascii="Century Gothic" w:hAnsi="Century Gothic"/>
          <w:sz w:val="21"/>
          <w:szCs w:val="21"/>
        </w:rPr>
      </w:pPr>
    </w:p>
    <w:p w14:paraId="4B5C0064" w14:textId="35F40DDB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Note: This KPI table also works best in spreadsheet software (Excel/Sheets) for trend tracking and charts.</w:t>
      </w:r>
    </w:p>
    <w:p w14:paraId="2387D26C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i/>
          <w:sz w:val="21"/>
          <w:szCs w:val="21"/>
        </w:rPr>
        <w:t>Benchmarks/targets source: [discipline norms / publisher standards / board-approved goals].</w:t>
      </w:r>
    </w:p>
    <w:p w14:paraId="2CA047C3" w14:textId="77777777" w:rsidR="003C7D7F" w:rsidRPr="0089058B" w:rsidRDefault="00000000">
      <w:pPr>
        <w:pStyle w:val="Heading3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1.a) Metric Definitions (Glossary)</w:t>
      </w:r>
    </w:p>
    <w:p w14:paraId="1BEDC51B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"First decision": The initial editorial decision (e.g., desk reject, send for review, minor/major revise) communicated to the author.</w:t>
      </w:r>
    </w:p>
    <w:p w14:paraId="0BAF584E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"Final decision": The decision that concludes the editorial process for a submission in this period (accept or reject). Specify if conditional accept is treated as final.</w:t>
      </w:r>
    </w:p>
    <w:p w14:paraId="60DB645A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Rejection rate: Specify whether desk rejections are included. Recommend reporting both overall and post-review rejection rates.</w:t>
      </w:r>
    </w:p>
    <w:p w14:paraId="5BA5BD7D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Reviewer acceptance rate: #accepted invitations ÷ #invitations sent in this period (state if counting unique reviewers or invitations).</w:t>
      </w:r>
    </w:p>
    <w:p w14:paraId="00635ABA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2) Peer-Review Activity</w:t>
      </w:r>
    </w:p>
    <w:p w14:paraId="7E9C3DC6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Invited / accepted / completed reviews: [# / # / #]</w:t>
      </w:r>
    </w:p>
    <w:p w14:paraId="4AFADB94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Reviewer turnaround: median [d] (p25–p75: [d–d]); Quality notes: [completeness, civility, conflicts handled].</w:t>
      </w:r>
    </w:p>
    <w:p w14:paraId="14C68E5E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Distribution – geography: [Top 3 regions/countries]; institution type: [HEI/gov/industry – % split].</w:t>
      </w:r>
    </w:p>
    <w:p w14:paraId="20505835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3) Decision Patterns &amp; Timelines</w:t>
      </w:r>
    </w:p>
    <w:p w14:paraId="4554BB9A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Desk screen rate: [%]; External review rate: [%].</w:t>
      </w:r>
    </w:p>
    <w:p w14:paraId="5EADCE52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Conflicting reviews handling: [brief practice]. Bottlenecks: [late reviews / resubmission queues]. Remedies: [bigger pool / reminders].</w:t>
      </w:r>
    </w:p>
    <w:p w14:paraId="4CD115A7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Average rounds to final decision: [median # of revision cycles].</w:t>
      </w:r>
    </w:p>
    <w:p w14:paraId="0C3876CC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4) Content &amp; Strategy</w:t>
      </w:r>
    </w:p>
    <w:p w14:paraId="6D321C64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Submission mix / themes: [Top topics; ↑/↓ vs previous].</w:t>
      </w:r>
    </w:p>
    <w:p w14:paraId="36780F95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Species/subject focus (if relevant): [e.g., bovine %, caprine %].</w:t>
      </w:r>
    </w:p>
    <w:p w14:paraId="36FA864B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Geographic/context relevance: [% Africa/SADC; international spread].</w:t>
      </w:r>
    </w:p>
    <w:p w14:paraId="43FEC9CE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Special issues &amp; pipelines: [published/planned; status + dates].</w:t>
      </w:r>
    </w:p>
    <w:p w14:paraId="2090C685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Scope check: [still fit for purpose? any gaps to target].</w:t>
      </w:r>
    </w:p>
    <w:p w14:paraId="6D1C9842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5) Integrity, Ethics &amp; COI</w:t>
      </w:r>
    </w:p>
    <w:p w14:paraId="7D0A01CD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Plagiarism checks (iThenticate): [# screened; concerns and actions].</w:t>
      </w:r>
    </w:p>
    <w:p w14:paraId="03F40FFC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COPE actions: [none / brief case log].</w:t>
      </w:r>
    </w:p>
    <w:p w14:paraId="4515E96C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Corrections / retractions / expressions of concern: [# + DOIs + dates].</w:t>
      </w:r>
    </w:p>
    <w:p w14:paraId="74A8BAE2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LLM/AI disclosure policy: [Yes/No; visibility URL; compliance notes].</w:t>
      </w:r>
    </w:p>
    <w:p w14:paraId="08166A77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COI handling: [editor/reviewer/author; recusals].</w:t>
      </w:r>
    </w:p>
    <w:p w14:paraId="5EFEFC2B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lastRenderedPageBreak/>
        <w:t>Image/data manipulation checks: [tools/process; cases].</w:t>
      </w:r>
    </w:p>
    <w:p w14:paraId="771CEC83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Authorship disputes logged: [#; outcomes].</w:t>
      </w:r>
    </w:p>
    <w:p w14:paraId="2BAA5733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Post-publication concerns received: [#; outcomes].</w:t>
      </w:r>
    </w:p>
    <w:p w14:paraId="40E011E0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6) Editorial Board Engagement</w:t>
      </w:r>
    </w:p>
    <w:p w14:paraId="6F1A89C0" w14:textId="77777777" w:rsidR="003C7D7F" w:rsidRPr="0089058B" w:rsidRDefault="00000000">
      <w:pPr>
        <w:pStyle w:val="Heading3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6.1) Board Performance</w:t>
      </w:r>
    </w:p>
    <w:p w14:paraId="6823809C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Board reviews: [#]; avg turnaround: [d]; attendance at meetings: [%].</w:t>
      </w:r>
    </w:p>
    <w:p w14:paraId="3509D63C" w14:textId="77777777" w:rsidR="003C7D7F" w:rsidRPr="0089058B" w:rsidRDefault="00000000">
      <w:pPr>
        <w:pStyle w:val="Heading3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6.2) Community Engagement</w:t>
      </w:r>
    </w:p>
    <w:p w14:paraId="556C9569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Talks/calls for papers/conference presence; outreach and recruitment updates.</w:t>
      </w:r>
    </w:p>
    <w:p w14:paraId="41ACC046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7) SWOT (bullet-tight)</w:t>
      </w:r>
    </w:p>
    <w:p w14:paraId="1B59232F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Strengths: [1–2] • Weaknesses: [1–2] • Opportunities: [1–2] • Threats: [1–2]</w:t>
      </w:r>
    </w:p>
    <w:p w14:paraId="45A78F2D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8) Finance &amp; Operations (brief)</w:t>
      </w:r>
    </w:p>
    <w:p w14:paraId="482C87AA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Income model: [APC/waivers/membership/grants].</w:t>
      </w:r>
    </w:p>
    <w:p w14:paraId="6F5D682F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Waiver rate: [% of articles with APC waivers].</w:t>
      </w:r>
    </w:p>
    <w:p w14:paraId="6D72D4B3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Cost-per-article published: [currency/article].</w:t>
      </w:r>
    </w:p>
    <w:p w14:paraId="6956BA28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Revenue vs. expenses trend: [brief].</w:t>
      </w:r>
    </w:p>
    <w:p w14:paraId="3F30765C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Cost drivers: hosting/DOIs/editing/tools—% split if available.</w:t>
      </w:r>
    </w:p>
    <w:p w14:paraId="41397B7E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Operational notes: copy-editing, production, platform upgrades, preservation.</w:t>
      </w:r>
    </w:p>
    <w:p w14:paraId="554362F8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9) Recommendations &amp; Action Items</w:t>
      </w:r>
    </w:p>
    <w:p w14:paraId="1538A7E7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0–3 months: [3–5 actions]; 3–6 months: [2–4 actions]; 6–12+ months: [2–3 priorities].</w:t>
      </w:r>
    </w:p>
    <w:p w14:paraId="398DFA4C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Decisions requested now: [bullets with 1-line rationale].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3C7D7F" w:rsidRPr="0089058B" w14:paraId="319F7921" w14:textId="77777777">
        <w:trPr>
          <w:jc w:val="center"/>
        </w:trPr>
        <w:tc>
          <w:tcPr>
            <w:tcW w:w="2340" w:type="dxa"/>
          </w:tcPr>
          <w:p w14:paraId="16C803FD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Action</w:t>
            </w:r>
          </w:p>
        </w:tc>
        <w:tc>
          <w:tcPr>
            <w:tcW w:w="2340" w:type="dxa"/>
          </w:tcPr>
          <w:p w14:paraId="124DB43D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Owner</w:t>
            </w:r>
          </w:p>
        </w:tc>
        <w:tc>
          <w:tcPr>
            <w:tcW w:w="2340" w:type="dxa"/>
          </w:tcPr>
          <w:p w14:paraId="4A084BE5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Due</w:t>
            </w:r>
          </w:p>
        </w:tc>
        <w:tc>
          <w:tcPr>
            <w:tcW w:w="2340" w:type="dxa"/>
          </w:tcPr>
          <w:p w14:paraId="3B5471D3" w14:textId="77777777" w:rsidR="003C7D7F" w:rsidRPr="0089058B" w:rsidRDefault="00000000">
            <w:pPr>
              <w:rPr>
                <w:rFonts w:ascii="Century Gothic" w:hAnsi="Century Gothic"/>
                <w:sz w:val="21"/>
                <w:szCs w:val="21"/>
              </w:rPr>
            </w:pPr>
            <w:r w:rsidRPr="0089058B">
              <w:rPr>
                <w:rFonts w:ascii="Century Gothic" w:hAnsi="Century Gothic"/>
                <w:b/>
                <w:sz w:val="21"/>
                <w:szCs w:val="21"/>
              </w:rPr>
              <w:t>Status</w:t>
            </w:r>
          </w:p>
        </w:tc>
      </w:tr>
      <w:tr w:rsidR="003C7D7F" w:rsidRPr="0089058B" w14:paraId="03CDF318" w14:textId="77777777">
        <w:trPr>
          <w:jc w:val="center"/>
        </w:trPr>
        <w:tc>
          <w:tcPr>
            <w:tcW w:w="2340" w:type="dxa"/>
          </w:tcPr>
          <w:p w14:paraId="4DF6B9C9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0D4222D9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D3F959B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4B5B2CA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337F4781" w14:textId="77777777">
        <w:trPr>
          <w:jc w:val="center"/>
        </w:trPr>
        <w:tc>
          <w:tcPr>
            <w:tcW w:w="2340" w:type="dxa"/>
          </w:tcPr>
          <w:p w14:paraId="0EF3981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21D8E6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32EDEC07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6C8488C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0FE7CEFF" w14:textId="77777777">
        <w:trPr>
          <w:jc w:val="center"/>
        </w:trPr>
        <w:tc>
          <w:tcPr>
            <w:tcW w:w="2340" w:type="dxa"/>
          </w:tcPr>
          <w:p w14:paraId="34E6EF37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1A73D22C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68529682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4364DFBB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C7D7F" w:rsidRPr="0089058B" w14:paraId="20B14F03" w14:textId="77777777">
        <w:trPr>
          <w:jc w:val="center"/>
        </w:trPr>
        <w:tc>
          <w:tcPr>
            <w:tcW w:w="2340" w:type="dxa"/>
          </w:tcPr>
          <w:p w14:paraId="4AFCB9B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C6E9533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195EA3F1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2340" w:type="dxa"/>
          </w:tcPr>
          <w:p w14:paraId="5EC402EE" w14:textId="77777777" w:rsidR="003C7D7F" w:rsidRPr="0089058B" w:rsidRDefault="003C7D7F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4D30E4CE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10) Diversity &amp; Inclusion (optional)</w:t>
      </w:r>
    </w:p>
    <w:p w14:paraId="67C68DF2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If relevant to journal values/policies:</w:t>
      </w:r>
    </w:p>
    <w:p w14:paraId="47407852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Author demographics (opt-in, privacy-compliant).</w:t>
      </w:r>
    </w:p>
    <w:p w14:paraId="0F54C1DA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Reviewer/board geographic distribution (beyond one-liners).</w:t>
      </w:r>
    </w:p>
    <w:p w14:paraId="419D766D" w14:textId="77777777" w:rsidR="003C7D7F" w:rsidRPr="0089058B" w:rsidRDefault="00000000">
      <w:pPr>
        <w:pStyle w:val="Heading2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11) Red Flags (Quick Checklist)</w:t>
      </w:r>
    </w:p>
    <w:p w14:paraId="50D51035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Rejection rate changed by &gt;15% period-over-period without explanation.</w:t>
      </w:r>
    </w:p>
    <w:p w14:paraId="18DBAE94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Median review time &gt; 60 days (or exceeds target benchmark).</w:t>
      </w:r>
    </w:p>
    <w:p w14:paraId="3EC517C4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Board members publish &gt;30% of content in the period.</w:t>
      </w:r>
    </w:p>
    <w:p w14:paraId="2A2D964B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High backlog growth (&gt;20%) or editor workload consistently high.</w:t>
      </w:r>
    </w:p>
    <w:p w14:paraId="31EB77CA" w14:textId="77777777" w:rsidR="003C7D7F" w:rsidRPr="0089058B" w:rsidRDefault="00000000">
      <w:pPr>
        <w:pStyle w:val="ListBullet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Spike in corrections/retractions or unresolved ethics cases.</w:t>
      </w:r>
    </w:p>
    <w:p w14:paraId="315F513B" w14:textId="77777777" w:rsidR="003C7D7F" w:rsidRPr="0089058B" w:rsidRDefault="00000000">
      <w:pPr>
        <w:pStyle w:val="Heading1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lastRenderedPageBreak/>
        <w:t>Appendix (optional, keep lean)</w:t>
      </w:r>
    </w:p>
    <w:p w14:paraId="30BC1DE6" w14:textId="77777777" w:rsidR="003C7D7F" w:rsidRPr="0089058B" w:rsidRDefault="00000000">
      <w:pPr>
        <w:spacing w:after="120"/>
        <w:rPr>
          <w:rFonts w:ascii="Century Gothic" w:hAnsi="Century Gothic"/>
          <w:sz w:val="21"/>
          <w:szCs w:val="21"/>
        </w:rPr>
      </w:pPr>
      <w:r w:rsidRPr="0089058B">
        <w:rPr>
          <w:rFonts w:ascii="Century Gothic" w:hAnsi="Century Gothic"/>
          <w:sz w:val="21"/>
          <w:szCs w:val="21"/>
        </w:rPr>
        <w:t>Include micro-tables, small charts (submission trend; timeline medians), and brief data notes. Consider a companion PowerPoint for dashboards.</w:t>
      </w:r>
    </w:p>
    <w:sectPr w:rsidR="003C7D7F" w:rsidRPr="0089058B" w:rsidSect="00034616">
      <w:foot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A218" w14:textId="77777777" w:rsidR="006878A5" w:rsidRDefault="006878A5">
      <w:pPr>
        <w:spacing w:after="0" w:line="240" w:lineRule="auto"/>
      </w:pPr>
      <w:r>
        <w:separator/>
      </w:r>
    </w:p>
  </w:endnote>
  <w:endnote w:type="continuationSeparator" w:id="0">
    <w:p w14:paraId="59858CE0" w14:textId="77777777" w:rsidR="006878A5" w:rsidRDefault="0068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837720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7F7F7F" w:themeColor="background1" w:themeShade="7F"/>
        <w:spacing w:val="60"/>
        <w:lang w:val="en-GB"/>
      </w:rPr>
    </w:sdtEndPr>
    <w:sdtContent>
      <w:p w14:paraId="4B69A157" w14:textId="73C652C3" w:rsidR="00E55EEF" w:rsidRPr="00E55EEF" w:rsidRDefault="00E55EE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entury Gothic" w:hAnsi="Century Gothic"/>
          </w:rPr>
        </w:pPr>
        <w:r w:rsidRPr="00E55EEF">
          <w:rPr>
            <w:rFonts w:ascii="Century Gothic" w:hAnsi="Century Gothic"/>
          </w:rPr>
          <w:fldChar w:fldCharType="begin"/>
        </w:r>
        <w:r w:rsidRPr="00E55EEF">
          <w:rPr>
            <w:rFonts w:ascii="Century Gothic" w:hAnsi="Century Gothic"/>
          </w:rPr>
          <w:instrText>PAGE   \* MERGEFORMAT</w:instrText>
        </w:r>
        <w:r w:rsidRPr="00E55EEF">
          <w:rPr>
            <w:rFonts w:ascii="Century Gothic" w:hAnsi="Century Gothic"/>
          </w:rPr>
          <w:fldChar w:fldCharType="separate"/>
        </w:r>
        <w:r w:rsidRPr="00E55EEF">
          <w:rPr>
            <w:rFonts w:ascii="Century Gothic" w:hAnsi="Century Gothic"/>
            <w:lang w:val="en-GB"/>
          </w:rPr>
          <w:t>2</w:t>
        </w:r>
        <w:r w:rsidRPr="00E55EEF">
          <w:rPr>
            <w:rFonts w:ascii="Century Gothic" w:hAnsi="Century Gothic"/>
          </w:rPr>
          <w:fldChar w:fldCharType="end"/>
        </w:r>
        <w:r w:rsidRPr="00E55EEF">
          <w:rPr>
            <w:rFonts w:ascii="Century Gothic" w:hAnsi="Century Gothic"/>
            <w:lang w:val="en-GB"/>
          </w:rPr>
          <w:t xml:space="preserve"> | </w:t>
        </w:r>
        <w:r w:rsidRPr="00E55EEF">
          <w:rPr>
            <w:rFonts w:ascii="Century Gothic" w:hAnsi="Century Gothic"/>
            <w:color w:val="7F7F7F" w:themeColor="background1" w:themeShade="7F"/>
            <w:spacing w:val="60"/>
            <w:lang w:val="en-GB"/>
          </w:rPr>
          <w:t>Page</w:t>
        </w:r>
      </w:p>
    </w:sdtContent>
  </w:sdt>
  <w:p w14:paraId="4184C7B3" w14:textId="4AE3181B" w:rsidR="003C7D7F" w:rsidRPr="00E55EEF" w:rsidRDefault="003C7D7F" w:rsidP="00E55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5B40" w14:textId="77777777" w:rsidR="006878A5" w:rsidRDefault="006878A5">
      <w:pPr>
        <w:spacing w:after="0" w:line="240" w:lineRule="auto"/>
      </w:pPr>
      <w:r>
        <w:separator/>
      </w:r>
    </w:p>
  </w:footnote>
  <w:footnote w:type="continuationSeparator" w:id="0">
    <w:p w14:paraId="663E4CB5" w14:textId="77777777" w:rsidR="006878A5" w:rsidRDefault="0068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1186311">
    <w:abstractNumId w:val="8"/>
  </w:num>
  <w:num w:numId="2" w16cid:durableId="933898712">
    <w:abstractNumId w:val="6"/>
  </w:num>
  <w:num w:numId="3" w16cid:durableId="759839114">
    <w:abstractNumId w:val="5"/>
  </w:num>
  <w:num w:numId="4" w16cid:durableId="1821656590">
    <w:abstractNumId w:val="4"/>
  </w:num>
  <w:num w:numId="5" w16cid:durableId="1815445247">
    <w:abstractNumId w:val="7"/>
  </w:num>
  <w:num w:numId="6" w16cid:durableId="1117682482">
    <w:abstractNumId w:val="3"/>
  </w:num>
  <w:num w:numId="7" w16cid:durableId="2019575021">
    <w:abstractNumId w:val="2"/>
  </w:num>
  <w:num w:numId="8" w16cid:durableId="1513295326">
    <w:abstractNumId w:val="1"/>
  </w:num>
  <w:num w:numId="9" w16cid:durableId="3876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293B"/>
    <w:rsid w:val="001F5813"/>
    <w:rsid w:val="0029639D"/>
    <w:rsid w:val="00326F90"/>
    <w:rsid w:val="003C7D7F"/>
    <w:rsid w:val="005838B8"/>
    <w:rsid w:val="006878A5"/>
    <w:rsid w:val="0089058B"/>
    <w:rsid w:val="00AA1D8D"/>
    <w:rsid w:val="00B47730"/>
    <w:rsid w:val="00CB0664"/>
    <w:rsid w:val="00E55EEF"/>
    <w:rsid w:val="00FC55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E6354"/>
  <w14:defaultImageDpi w14:val="300"/>
  <w15:docId w15:val="{FBDEDE75-6462-4FE4-8E11-DCEF0521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Fairbairn</cp:lastModifiedBy>
  <cp:revision>2</cp:revision>
  <dcterms:created xsi:type="dcterms:W3CDTF">2025-12-02T12:06:00Z</dcterms:created>
  <dcterms:modified xsi:type="dcterms:W3CDTF">2025-12-02T12:06:00Z</dcterms:modified>
  <cp:category/>
</cp:coreProperties>
</file>